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9174"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1684"/>
        <w:gridCol w:w="7490"/>
      </w:tblGrid>
      <w:tr w:rsidR="00780ECA" w:rsidRPr="00C31BD3" w:rsidTr="00F00C2D">
        <w:trPr>
          <w:cnfStyle w:val="100000000000" w:firstRow="1" w:lastRow="0" w:firstColumn="0" w:lastColumn="0" w:oddVBand="0" w:evenVBand="0" w:oddHBand="0" w:evenHBand="0" w:firstRowFirstColumn="0" w:firstRowLastColumn="0" w:lastRowFirstColumn="0" w:lastRowLastColumn="0"/>
          <w:trHeight w:val="739"/>
        </w:trPr>
        <w:tc>
          <w:tcPr>
            <w:cnfStyle w:val="001000000000" w:firstRow="0" w:lastRow="0" w:firstColumn="1" w:lastColumn="0" w:oddVBand="0" w:evenVBand="0" w:oddHBand="0" w:evenHBand="0" w:firstRowFirstColumn="0" w:firstRowLastColumn="0" w:lastRowFirstColumn="0" w:lastRowLastColumn="0"/>
            <w:tcW w:w="168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80ECA" w:rsidRPr="00780ECA" w:rsidRDefault="00780ECA" w:rsidP="00780ECA">
            <w:pPr>
              <w:spacing w:after="0" w:line="240" w:lineRule="auto"/>
              <w:rPr>
                <w:sz w:val="20"/>
                <w:szCs w:val="20"/>
              </w:rPr>
            </w:pPr>
            <w:r w:rsidRPr="00780ECA">
              <w:rPr>
                <w:sz w:val="20"/>
                <w:szCs w:val="20"/>
              </w:rPr>
              <w:t xml:space="preserve">Název veřejné zakázky: </w:t>
            </w:r>
          </w:p>
        </w:tc>
        <w:tc>
          <w:tcPr>
            <w:tcW w:w="7490"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rsidR="00780ECA" w:rsidRPr="00C31BD3" w:rsidRDefault="00F00C2D" w:rsidP="00780ECA">
            <w:pPr>
              <w:spacing w:after="0" w:line="240" w:lineRule="auto"/>
              <w:cnfStyle w:val="100000000000" w:firstRow="1" w:lastRow="0" w:firstColumn="0" w:lastColumn="0" w:oddVBand="0" w:evenVBand="0" w:oddHBand="0" w:evenHBand="0" w:firstRowFirstColumn="0" w:firstRowLastColumn="0" w:lastRowFirstColumn="0" w:lastRowLastColumn="0"/>
              <w:rPr>
                <w:sz w:val="32"/>
              </w:rPr>
            </w:pPr>
            <w:r w:rsidRPr="00F00C2D">
              <w:rPr>
                <w:sz w:val="32"/>
              </w:rPr>
              <w:t>Zateplení obvodového pláště PS v Šumperku</w:t>
            </w:r>
          </w:p>
        </w:tc>
      </w:tr>
    </w:tbl>
    <w:p w:rsidR="00780ECA" w:rsidRPr="00C31BD3" w:rsidRDefault="00780ECA" w:rsidP="00780ECA">
      <w:pPr>
        <w:spacing w:before="200"/>
        <w:jc w:val="center"/>
        <w:rPr>
          <w:b/>
          <w:sz w:val="28"/>
        </w:rPr>
      </w:pPr>
      <w:r w:rsidRPr="00C31BD3">
        <w:rPr>
          <w:b/>
          <w:sz w:val="28"/>
        </w:rPr>
        <w:t>Technický popis prací</w:t>
      </w:r>
    </w:p>
    <w:p w:rsidR="00780ECA" w:rsidRPr="00780ECA" w:rsidRDefault="00780ECA" w:rsidP="00780ECA">
      <w:pPr>
        <w:pStyle w:val="Styl1"/>
        <w:spacing w:before="240"/>
        <w:ind w:left="284" w:hanging="284"/>
        <w:jc w:val="both"/>
        <w:rPr>
          <w:rFonts w:asciiTheme="minorHAnsi" w:hAnsiTheme="minorHAnsi"/>
          <w:b/>
          <w:color w:val="auto"/>
          <w:sz w:val="20"/>
          <w:szCs w:val="20"/>
        </w:rPr>
      </w:pPr>
      <w:r w:rsidRPr="00780ECA">
        <w:rPr>
          <w:rFonts w:asciiTheme="minorHAnsi" w:hAnsiTheme="minorHAnsi"/>
          <w:b/>
          <w:color w:val="auto"/>
          <w:sz w:val="20"/>
          <w:szCs w:val="20"/>
        </w:rPr>
        <w:t>Předmět veřejné zakázky:</w:t>
      </w:r>
    </w:p>
    <w:p w:rsidR="00F00C2D" w:rsidRDefault="00780ECA" w:rsidP="00F00C2D">
      <w:pPr>
        <w:spacing w:after="0" w:line="240" w:lineRule="auto"/>
        <w:jc w:val="both"/>
        <w:rPr>
          <w:sz w:val="20"/>
          <w:szCs w:val="20"/>
        </w:rPr>
      </w:pPr>
      <w:r w:rsidRPr="00461461">
        <w:rPr>
          <w:sz w:val="20"/>
          <w:szCs w:val="20"/>
        </w:rPr>
        <w:t xml:space="preserve">Účelem veřejné zakázky je oprava provozní budovy </w:t>
      </w:r>
      <w:r w:rsidR="00461461" w:rsidRPr="00461461">
        <w:rPr>
          <w:sz w:val="20"/>
          <w:szCs w:val="20"/>
        </w:rPr>
        <w:t xml:space="preserve">PS </w:t>
      </w:r>
      <w:r w:rsidRPr="00461461">
        <w:rPr>
          <w:sz w:val="20"/>
          <w:szCs w:val="20"/>
        </w:rPr>
        <w:t>v Šumperku</w:t>
      </w:r>
      <w:r w:rsidRPr="0044110A">
        <w:rPr>
          <w:sz w:val="20"/>
          <w:szCs w:val="20"/>
        </w:rPr>
        <w:t xml:space="preserve">. </w:t>
      </w:r>
      <w:r w:rsidR="00F00C2D" w:rsidRPr="0044110A">
        <w:rPr>
          <w:sz w:val="20"/>
          <w:szCs w:val="20"/>
        </w:rPr>
        <w:t>Z důvodu velkých tepelných ztrát objektu a neekonomického provozu bude provedeno zateplení obvodového pláště</w:t>
      </w:r>
      <w:r w:rsidR="00F00C2D">
        <w:rPr>
          <w:sz w:val="20"/>
          <w:szCs w:val="20"/>
        </w:rPr>
        <w:t xml:space="preserve">, včetně kompletní výměny klempířských prvků a </w:t>
      </w:r>
      <w:r w:rsidRPr="0044110A">
        <w:rPr>
          <w:sz w:val="20"/>
          <w:szCs w:val="20"/>
        </w:rPr>
        <w:t>hromosvodové soustavy</w:t>
      </w:r>
      <w:r w:rsidR="00461461">
        <w:rPr>
          <w:sz w:val="20"/>
          <w:szCs w:val="20"/>
        </w:rPr>
        <w:t>.</w:t>
      </w:r>
    </w:p>
    <w:p w:rsidR="00F00C2D" w:rsidRDefault="00F00C2D" w:rsidP="00F00C2D">
      <w:pPr>
        <w:spacing w:after="0" w:line="240" w:lineRule="auto"/>
        <w:jc w:val="both"/>
        <w:rPr>
          <w:sz w:val="20"/>
          <w:szCs w:val="20"/>
        </w:rPr>
      </w:pPr>
    </w:p>
    <w:p w:rsidR="00780ECA" w:rsidRPr="00780ECA" w:rsidRDefault="00780ECA" w:rsidP="00F00C2D">
      <w:pPr>
        <w:spacing w:after="0" w:line="240" w:lineRule="auto"/>
        <w:jc w:val="both"/>
        <w:rPr>
          <w:b/>
          <w:sz w:val="20"/>
          <w:szCs w:val="20"/>
        </w:rPr>
      </w:pPr>
      <w:r w:rsidRPr="00780ECA">
        <w:rPr>
          <w:b/>
          <w:sz w:val="20"/>
          <w:szCs w:val="20"/>
        </w:rPr>
        <w:t>Umístění předmětu veřejné zakázky:</w:t>
      </w:r>
    </w:p>
    <w:p w:rsidR="00780ECA" w:rsidRPr="0044110A" w:rsidRDefault="00780ECA" w:rsidP="00780ECA">
      <w:pPr>
        <w:spacing w:after="0" w:line="240" w:lineRule="auto"/>
        <w:jc w:val="both"/>
        <w:rPr>
          <w:sz w:val="20"/>
          <w:szCs w:val="20"/>
        </w:rPr>
      </w:pPr>
      <w:r w:rsidRPr="0044110A">
        <w:rPr>
          <w:sz w:val="20"/>
          <w:szCs w:val="20"/>
        </w:rPr>
        <w:t>Kraj:</w:t>
      </w:r>
      <w:r w:rsidRPr="0044110A">
        <w:rPr>
          <w:sz w:val="20"/>
          <w:szCs w:val="20"/>
        </w:rPr>
        <w:tab/>
      </w:r>
      <w:r w:rsidRPr="0044110A">
        <w:rPr>
          <w:sz w:val="20"/>
          <w:szCs w:val="20"/>
        </w:rPr>
        <w:tab/>
      </w:r>
      <w:r w:rsidRPr="0044110A">
        <w:rPr>
          <w:sz w:val="20"/>
          <w:szCs w:val="20"/>
        </w:rPr>
        <w:tab/>
      </w:r>
      <w:r w:rsidRPr="0044110A">
        <w:rPr>
          <w:sz w:val="20"/>
          <w:szCs w:val="20"/>
        </w:rPr>
        <w:tab/>
        <w:t>Olomoucký</w:t>
      </w:r>
    </w:p>
    <w:p w:rsidR="00780ECA" w:rsidRPr="0044110A" w:rsidRDefault="00780ECA" w:rsidP="00780ECA">
      <w:pPr>
        <w:spacing w:after="0" w:line="240" w:lineRule="auto"/>
        <w:jc w:val="both"/>
        <w:rPr>
          <w:sz w:val="20"/>
          <w:szCs w:val="20"/>
        </w:rPr>
      </w:pPr>
      <w:r w:rsidRPr="0044110A">
        <w:rPr>
          <w:sz w:val="20"/>
          <w:szCs w:val="20"/>
        </w:rPr>
        <w:t>Obec:</w:t>
      </w:r>
      <w:r w:rsidRPr="0044110A">
        <w:rPr>
          <w:sz w:val="20"/>
          <w:szCs w:val="20"/>
        </w:rPr>
        <w:tab/>
      </w:r>
      <w:r w:rsidRPr="0044110A">
        <w:rPr>
          <w:sz w:val="20"/>
          <w:szCs w:val="20"/>
        </w:rPr>
        <w:tab/>
      </w:r>
      <w:r w:rsidRPr="0044110A">
        <w:rPr>
          <w:sz w:val="20"/>
          <w:szCs w:val="20"/>
        </w:rPr>
        <w:tab/>
      </w:r>
      <w:r w:rsidRPr="0044110A">
        <w:rPr>
          <w:sz w:val="20"/>
          <w:szCs w:val="20"/>
        </w:rPr>
        <w:tab/>
        <w:t>Šumperk</w:t>
      </w:r>
    </w:p>
    <w:p w:rsidR="00780ECA" w:rsidRPr="0044110A" w:rsidRDefault="00780ECA" w:rsidP="00780ECA">
      <w:pPr>
        <w:spacing w:after="0" w:line="240" w:lineRule="auto"/>
        <w:jc w:val="both"/>
        <w:rPr>
          <w:sz w:val="20"/>
          <w:szCs w:val="20"/>
        </w:rPr>
      </w:pPr>
      <w:r w:rsidRPr="0044110A">
        <w:rPr>
          <w:sz w:val="20"/>
          <w:szCs w:val="20"/>
        </w:rPr>
        <w:t>Katastrální území:</w:t>
      </w:r>
      <w:r w:rsidRPr="0044110A">
        <w:rPr>
          <w:sz w:val="20"/>
          <w:szCs w:val="20"/>
        </w:rPr>
        <w:tab/>
      </w:r>
      <w:r w:rsidRPr="0044110A">
        <w:rPr>
          <w:sz w:val="20"/>
          <w:szCs w:val="20"/>
        </w:rPr>
        <w:tab/>
        <w:t>Šumperk</w:t>
      </w:r>
    </w:p>
    <w:p w:rsidR="00461461" w:rsidRDefault="00780ECA" w:rsidP="00780ECA">
      <w:pPr>
        <w:spacing w:after="0" w:line="240" w:lineRule="auto"/>
        <w:jc w:val="both"/>
        <w:rPr>
          <w:rFonts w:cs="Arial"/>
          <w:sz w:val="20"/>
          <w:szCs w:val="20"/>
        </w:rPr>
      </w:pPr>
      <w:r w:rsidRPr="0044110A">
        <w:rPr>
          <w:sz w:val="20"/>
          <w:szCs w:val="20"/>
        </w:rPr>
        <w:t>Číslo parcely:</w:t>
      </w:r>
      <w:r w:rsidRPr="0044110A">
        <w:rPr>
          <w:sz w:val="20"/>
          <w:szCs w:val="20"/>
        </w:rPr>
        <w:tab/>
      </w:r>
      <w:r w:rsidRPr="0044110A">
        <w:rPr>
          <w:sz w:val="20"/>
          <w:szCs w:val="20"/>
        </w:rPr>
        <w:tab/>
      </w:r>
      <w:r w:rsidRPr="0044110A">
        <w:rPr>
          <w:sz w:val="20"/>
          <w:szCs w:val="20"/>
        </w:rPr>
        <w:tab/>
      </w:r>
      <w:r w:rsidRPr="0044110A">
        <w:rPr>
          <w:rFonts w:cs="Arial"/>
          <w:sz w:val="20"/>
          <w:szCs w:val="20"/>
        </w:rPr>
        <w:t>st. 4741, st. 5731</w:t>
      </w:r>
    </w:p>
    <w:p w:rsidR="00780ECA" w:rsidRPr="0072767E" w:rsidRDefault="00780ECA" w:rsidP="00780ECA">
      <w:pPr>
        <w:spacing w:after="0" w:line="240" w:lineRule="auto"/>
        <w:jc w:val="both"/>
      </w:pPr>
      <w:r w:rsidRPr="0044110A">
        <w:rPr>
          <w:sz w:val="20"/>
          <w:szCs w:val="20"/>
        </w:rPr>
        <w:t>Sousední vazby:</w:t>
      </w:r>
      <w:r>
        <w:tab/>
      </w:r>
      <w:r>
        <w:tab/>
      </w:r>
    </w:p>
    <w:p w:rsidR="005A7D55" w:rsidRDefault="00780ECA" w:rsidP="005A7D55">
      <w:pPr>
        <w:pStyle w:val="Styl1"/>
        <w:spacing w:before="240" w:line="240" w:lineRule="auto"/>
        <w:ind w:left="284" w:hanging="284"/>
        <w:jc w:val="both"/>
        <w:rPr>
          <w:rFonts w:asciiTheme="minorHAnsi" w:hAnsiTheme="minorHAnsi"/>
          <w:b/>
          <w:color w:val="auto"/>
          <w:sz w:val="20"/>
          <w:szCs w:val="20"/>
        </w:rPr>
      </w:pPr>
      <w:r w:rsidRPr="00780ECA">
        <w:rPr>
          <w:rFonts w:asciiTheme="minorHAnsi" w:hAnsiTheme="minorHAnsi"/>
          <w:b/>
          <w:color w:val="auto"/>
          <w:sz w:val="20"/>
          <w:szCs w:val="20"/>
        </w:rPr>
        <w:t>Stručný popis prací, které jsou předmětem VZ (specifikace jednotlivých částí zakázky a jejich technických řešení je obsažena v projektové dokumentaci):</w:t>
      </w:r>
    </w:p>
    <w:p w:rsidR="005A7D55" w:rsidRPr="005A7D55" w:rsidRDefault="005A7D55" w:rsidP="005A7D55">
      <w:pPr>
        <w:pStyle w:val="Styl1"/>
        <w:numPr>
          <w:ilvl w:val="0"/>
          <w:numId w:val="0"/>
        </w:numPr>
        <w:spacing w:before="240" w:line="240" w:lineRule="auto"/>
        <w:ind w:left="284"/>
        <w:jc w:val="both"/>
        <w:rPr>
          <w:rFonts w:asciiTheme="minorHAnsi" w:hAnsiTheme="minorHAnsi"/>
          <w:b/>
          <w:color w:val="auto"/>
          <w:sz w:val="20"/>
          <w:szCs w:val="20"/>
        </w:rPr>
      </w:pPr>
    </w:p>
    <w:p w:rsidR="00780ECA" w:rsidRDefault="00780ECA" w:rsidP="005A7D55">
      <w:pPr>
        <w:pStyle w:val="Odstavecseseznamem"/>
        <w:numPr>
          <w:ilvl w:val="0"/>
          <w:numId w:val="35"/>
        </w:numPr>
        <w:spacing w:after="0" w:line="240" w:lineRule="auto"/>
        <w:ind w:left="714" w:hanging="357"/>
        <w:jc w:val="both"/>
        <w:rPr>
          <w:b/>
          <w:sz w:val="20"/>
          <w:szCs w:val="20"/>
        </w:rPr>
      </w:pPr>
      <w:r w:rsidRPr="00780ECA">
        <w:rPr>
          <w:b/>
          <w:sz w:val="20"/>
          <w:szCs w:val="20"/>
        </w:rPr>
        <w:t>Zemní práce</w:t>
      </w:r>
    </w:p>
    <w:p w:rsidR="005A7D55" w:rsidRPr="005A7D55" w:rsidRDefault="005A7D55" w:rsidP="005A7D55">
      <w:pPr>
        <w:spacing w:after="0" w:line="240" w:lineRule="auto"/>
        <w:jc w:val="both"/>
        <w:rPr>
          <w:b/>
          <w:sz w:val="20"/>
          <w:szCs w:val="20"/>
        </w:rPr>
      </w:pPr>
      <w:r w:rsidRPr="005A7D55">
        <w:rPr>
          <w:b/>
          <w:sz w:val="20"/>
          <w:szCs w:val="20"/>
        </w:rPr>
        <w:t>Budova PS:</w:t>
      </w:r>
    </w:p>
    <w:p w:rsidR="00780ECA" w:rsidRDefault="00780ECA" w:rsidP="00780ECA">
      <w:pPr>
        <w:autoSpaceDE w:val="0"/>
        <w:autoSpaceDN w:val="0"/>
        <w:adjustRightInd w:val="0"/>
        <w:spacing w:after="0" w:line="240" w:lineRule="auto"/>
        <w:jc w:val="both"/>
        <w:rPr>
          <w:sz w:val="20"/>
          <w:szCs w:val="20"/>
        </w:rPr>
      </w:pPr>
      <w:r w:rsidRPr="00D118E7">
        <w:rPr>
          <w:b/>
          <w:sz w:val="20"/>
          <w:szCs w:val="20"/>
        </w:rPr>
        <w:t>SO 02</w:t>
      </w:r>
      <w:r w:rsidR="00F00C2D">
        <w:rPr>
          <w:sz w:val="20"/>
          <w:szCs w:val="20"/>
        </w:rPr>
        <w:t xml:space="preserve"> - Oba objekty budou od</w:t>
      </w:r>
      <w:r w:rsidRPr="00D118E7">
        <w:rPr>
          <w:sz w:val="20"/>
          <w:szCs w:val="20"/>
        </w:rPr>
        <w:t>kopány pro uložení zemnícího a jímacího vedení hromosvodu. Vedení bude uloženo v hloubce úrovní přilehlého terénu. Stávající souvrství okapového chodníku bude rozebráno. Zpevněné plochy ze silničních panelů v okolí řešených objektů budou rozebrány odřezáním v předepsané šířce. Kolem objektu bude v místě výkopu zřízeno napojení na zpevněné plochy a okolní rostlý terén. Napojení na zpevněné plochy z ŽB panelů bude provedeno pomocí souvrství s pojízdnou plochou z asfaltového betonu. Napojení na rostlý terén na uliční straně objektu PS bude proveden okapový chodník s vrstvou z betonové velkoformátové dlažby. Pro nájezd do garáží v objektu PS, místnost 1.08 bude použito skladby s povrchovou úpravou asfaltovým betonem pro obrusné vrstvy a řešen ve sklonu.</w:t>
      </w:r>
    </w:p>
    <w:p w:rsidR="00780ECA" w:rsidRPr="00D118E7" w:rsidRDefault="00780ECA" w:rsidP="00780ECA">
      <w:pPr>
        <w:autoSpaceDE w:val="0"/>
        <w:autoSpaceDN w:val="0"/>
        <w:adjustRightInd w:val="0"/>
        <w:spacing w:after="0" w:line="240" w:lineRule="auto"/>
        <w:jc w:val="both"/>
        <w:rPr>
          <w:sz w:val="20"/>
          <w:szCs w:val="20"/>
        </w:rPr>
      </w:pPr>
    </w:p>
    <w:p w:rsidR="005A7D55" w:rsidRDefault="00780ECA" w:rsidP="005A7D55">
      <w:pPr>
        <w:pStyle w:val="Odstavecseseznamem"/>
        <w:numPr>
          <w:ilvl w:val="0"/>
          <w:numId w:val="35"/>
        </w:numPr>
        <w:spacing w:after="0" w:line="240" w:lineRule="auto"/>
        <w:ind w:left="714" w:hanging="357"/>
        <w:jc w:val="both"/>
        <w:rPr>
          <w:b/>
          <w:sz w:val="20"/>
          <w:szCs w:val="20"/>
        </w:rPr>
      </w:pPr>
      <w:r w:rsidRPr="00780ECA">
        <w:rPr>
          <w:b/>
          <w:sz w:val="20"/>
          <w:szCs w:val="20"/>
        </w:rPr>
        <w:t>Základy</w:t>
      </w:r>
    </w:p>
    <w:p w:rsidR="005A7D55" w:rsidRPr="005A7D55" w:rsidRDefault="005A7D55" w:rsidP="005A7D55">
      <w:pPr>
        <w:spacing w:after="0" w:line="240" w:lineRule="auto"/>
        <w:jc w:val="both"/>
        <w:rPr>
          <w:b/>
          <w:sz w:val="20"/>
          <w:szCs w:val="20"/>
        </w:rPr>
      </w:pPr>
      <w:r w:rsidRPr="005A7D55">
        <w:rPr>
          <w:b/>
          <w:sz w:val="20"/>
          <w:szCs w:val="20"/>
        </w:rPr>
        <w:t>Budova PS:</w:t>
      </w:r>
    </w:p>
    <w:p w:rsidR="00780ECA" w:rsidRPr="00780ECA" w:rsidRDefault="00780ECA" w:rsidP="00780ECA">
      <w:pPr>
        <w:autoSpaceDE w:val="0"/>
        <w:autoSpaceDN w:val="0"/>
        <w:adjustRightInd w:val="0"/>
        <w:spacing w:after="0" w:line="240" w:lineRule="auto"/>
        <w:jc w:val="both"/>
        <w:rPr>
          <w:sz w:val="20"/>
          <w:szCs w:val="20"/>
        </w:rPr>
      </w:pPr>
      <w:r w:rsidRPr="00780ECA">
        <w:rPr>
          <w:b/>
          <w:sz w:val="20"/>
          <w:szCs w:val="20"/>
        </w:rPr>
        <w:t>SO 02</w:t>
      </w:r>
      <w:r w:rsidRPr="00780ECA">
        <w:rPr>
          <w:sz w:val="20"/>
          <w:szCs w:val="20"/>
        </w:rPr>
        <w:t xml:space="preserve"> - U dotčených objektů budou zbudovány okapové chodníky, které budou lemovány zahradními obrubníky do betonového lože C 20/25. Vjezdy do garáží obou objektů budou lemovány v místě vrat silničními obrubníky uloženými tzv. naplocho do betonového lože C20/25.</w:t>
      </w:r>
    </w:p>
    <w:p w:rsidR="005A7D55" w:rsidRPr="005A7D55" w:rsidRDefault="00780ECA" w:rsidP="005A7D55">
      <w:pPr>
        <w:pStyle w:val="Odstavecseseznamem"/>
        <w:numPr>
          <w:ilvl w:val="0"/>
          <w:numId w:val="35"/>
        </w:numPr>
        <w:spacing w:before="120" w:after="0"/>
        <w:ind w:left="714" w:hanging="357"/>
        <w:jc w:val="both"/>
        <w:rPr>
          <w:b/>
          <w:sz w:val="20"/>
          <w:szCs w:val="20"/>
        </w:rPr>
      </w:pPr>
      <w:r w:rsidRPr="00780ECA">
        <w:rPr>
          <w:sz w:val="20"/>
          <w:szCs w:val="20"/>
        </w:rPr>
        <w:t xml:space="preserve"> </w:t>
      </w:r>
      <w:r w:rsidRPr="00780ECA">
        <w:rPr>
          <w:b/>
          <w:sz w:val="20"/>
          <w:szCs w:val="20"/>
        </w:rPr>
        <w:t>Bourací práce</w:t>
      </w:r>
    </w:p>
    <w:p w:rsidR="00780ECA" w:rsidRPr="00780ECA" w:rsidRDefault="00780ECA" w:rsidP="00780ECA">
      <w:pPr>
        <w:pStyle w:val="Default"/>
        <w:rPr>
          <w:rFonts w:asciiTheme="minorHAnsi" w:hAnsiTheme="minorHAnsi"/>
          <w:sz w:val="20"/>
          <w:szCs w:val="20"/>
        </w:rPr>
      </w:pPr>
      <w:r w:rsidRPr="00780ECA">
        <w:rPr>
          <w:rFonts w:asciiTheme="minorHAnsi" w:hAnsiTheme="minorHAnsi"/>
          <w:b/>
          <w:sz w:val="20"/>
          <w:szCs w:val="20"/>
        </w:rPr>
        <w:t>Budova PS:</w:t>
      </w:r>
      <w:r w:rsidRPr="00780ECA">
        <w:rPr>
          <w:rFonts w:asciiTheme="minorHAnsi" w:hAnsiTheme="minorHAnsi"/>
          <w:sz w:val="20"/>
          <w:szCs w:val="20"/>
        </w:rPr>
        <w:t xml:space="preserve"> </w:t>
      </w:r>
    </w:p>
    <w:p w:rsidR="00780ECA" w:rsidRPr="00D118E7" w:rsidRDefault="00780ECA" w:rsidP="00780ECA">
      <w:pPr>
        <w:pStyle w:val="Default"/>
        <w:jc w:val="both"/>
        <w:rPr>
          <w:rFonts w:asciiTheme="minorHAnsi" w:hAnsiTheme="minorHAnsi" w:cstheme="minorBidi"/>
          <w:color w:val="auto"/>
          <w:sz w:val="20"/>
          <w:szCs w:val="20"/>
        </w:rPr>
      </w:pPr>
      <w:r w:rsidRPr="00780ECA">
        <w:rPr>
          <w:rFonts w:asciiTheme="minorHAnsi" w:hAnsiTheme="minorHAnsi"/>
          <w:b/>
          <w:sz w:val="20"/>
          <w:szCs w:val="20"/>
        </w:rPr>
        <w:t>SO 02</w:t>
      </w:r>
      <w:r w:rsidRPr="00780ECA">
        <w:rPr>
          <w:rFonts w:asciiTheme="minorHAnsi" w:hAnsiTheme="minorHAnsi"/>
          <w:sz w:val="20"/>
          <w:szCs w:val="20"/>
        </w:rPr>
        <w:t xml:space="preserve"> - </w:t>
      </w:r>
      <w:r w:rsidRPr="00780ECA">
        <w:rPr>
          <w:rFonts w:asciiTheme="minorHAnsi" w:hAnsiTheme="minorHAnsi" w:cstheme="minorBidi"/>
          <w:color w:val="auto"/>
          <w:sz w:val="20"/>
          <w:szCs w:val="20"/>
        </w:rPr>
        <w:t>V okolí objektu PS bude rozebráno souvrství stávajícího okapového chodníku. Oba objekty, PS budou o</w:t>
      </w:r>
      <w:r w:rsidR="00F00C2D">
        <w:rPr>
          <w:rFonts w:asciiTheme="minorHAnsi" w:hAnsiTheme="minorHAnsi" w:cstheme="minorBidi"/>
          <w:color w:val="auto"/>
          <w:sz w:val="20"/>
          <w:szCs w:val="20"/>
        </w:rPr>
        <w:t>d</w:t>
      </w:r>
      <w:r w:rsidRPr="00780ECA">
        <w:rPr>
          <w:rFonts w:asciiTheme="minorHAnsi" w:hAnsiTheme="minorHAnsi" w:cstheme="minorBidi"/>
          <w:color w:val="auto"/>
          <w:sz w:val="20"/>
          <w:szCs w:val="20"/>
        </w:rPr>
        <w:t xml:space="preserve">kopány z důvodu uložení zemnícího a jímacího vedení hromosvodu. </w:t>
      </w:r>
      <w:r w:rsidRPr="00D118E7">
        <w:rPr>
          <w:rFonts w:asciiTheme="minorHAnsi" w:hAnsiTheme="minorHAnsi" w:cstheme="minorBidi"/>
          <w:color w:val="auto"/>
          <w:sz w:val="20"/>
          <w:szCs w:val="20"/>
        </w:rPr>
        <w:t>V daných místech bude odbourána část stávajících základových pasů, popř. stávající zpevněné plochy. Odbourání částí stávajícího základu bude v</w:t>
      </w:r>
      <w:r w:rsidR="00390434">
        <w:rPr>
          <w:rFonts w:asciiTheme="minorHAnsi" w:hAnsiTheme="minorHAnsi" w:cstheme="minorBidi"/>
          <w:color w:val="auto"/>
          <w:sz w:val="20"/>
          <w:szCs w:val="20"/>
        </w:rPr>
        <w:t> místě nájezdu do garáží. Pro od</w:t>
      </w:r>
      <w:r w:rsidRPr="00D118E7">
        <w:rPr>
          <w:rFonts w:asciiTheme="minorHAnsi" w:hAnsiTheme="minorHAnsi" w:cstheme="minorBidi"/>
          <w:color w:val="auto"/>
          <w:sz w:val="20"/>
          <w:szCs w:val="20"/>
        </w:rPr>
        <w:t xml:space="preserve">kopání objektu bude v daných místech odřezána </w:t>
      </w:r>
      <w:r w:rsidRPr="00D118E7">
        <w:rPr>
          <w:rFonts w:asciiTheme="minorHAnsi" w:hAnsiTheme="minorHAnsi" w:cstheme="minorBidi"/>
          <w:color w:val="auto"/>
          <w:sz w:val="20"/>
          <w:szCs w:val="20"/>
        </w:rPr>
        <w:lastRenderedPageBreak/>
        <w:t>část stávajících ŽB panelů. Sokl obou objektů bude stržen. Na balkonech budou strženy nášlapné a roznášecí vrstvy až na nosnou ŽB konstrukci. Z markýz bude odstraněno oplechování a roznášecí vrstvy na ŽB nosnou konstrukci. Na obou objektech budou odstraněny prvky oplechování, demontováno ocelové zábradlí balkonů s výplní, ocelové žebříky pro výlez na střechu a prvky odvodnění střech jako střešní žlaby, svody a příslušné kotvící prvky. Z prostoru atiky ploché střechy objektu PS budou dem</w:t>
      </w:r>
      <w:r w:rsidR="004965F9">
        <w:rPr>
          <w:rFonts w:asciiTheme="minorHAnsi" w:hAnsiTheme="minorHAnsi" w:cstheme="minorBidi"/>
          <w:color w:val="auto"/>
          <w:sz w:val="20"/>
          <w:szCs w:val="20"/>
        </w:rPr>
        <w:t xml:space="preserve">ontovány kovové větrací mřížky. </w:t>
      </w:r>
      <w:r w:rsidRPr="00D118E7">
        <w:rPr>
          <w:rFonts w:asciiTheme="minorHAnsi" w:hAnsiTheme="minorHAnsi" w:cstheme="minorBidi"/>
          <w:color w:val="auto"/>
          <w:sz w:val="20"/>
          <w:szCs w:val="20"/>
        </w:rPr>
        <w:t>Z obou objektů bude demontován stávající hromosvod i se zemnícími prvky.</w:t>
      </w:r>
    </w:p>
    <w:p w:rsidR="00780ECA" w:rsidRPr="00390434" w:rsidRDefault="00780ECA" w:rsidP="00390434">
      <w:pPr>
        <w:pStyle w:val="Odstavecseseznamem"/>
        <w:numPr>
          <w:ilvl w:val="0"/>
          <w:numId w:val="35"/>
        </w:numPr>
        <w:spacing w:before="120" w:after="0"/>
        <w:ind w:left="714" w:hanging="357"/>
        <w:jc w:val="both"/>
        <w:rPr>
          <w:b/>
          <w:sz w:val="20"/>
          <w:szCs w:val="20"/>
        </w:rPr>
      </w:pPr>
      <w:r w:rsidRPr="00780ECA">
        <w:rPr>
          <w:b/>
          <w:sz w:val="20"/>
          <w:szCs w:val="20"/>
        </w:rPr>
        <w:t>Svislé konstrukce</w:t>
      </w:r>
    </w:p>
    <w:p w:rsidR="00780ECA" w:rsidRPr="00780ECA" w:rsidRDefault="00780ECA" w:rsidP="00780ECA">
      <w:pPr>
        <w:pStyle w:val="Default"/>
        <w:rPr>
          <w:rFonts w:asciiTheme="minorHAnsi" w:hAnsiTheme="minorHAnsi"/>
          <w:sz w:val="20"/>
          <w:szCs w:val="20"/>
        </w:rPr>
      </w:pPr>
      <w:r w:rsidRPr="00780ECA">
        <w:rPr>
          <w:rFonts w:asciiTheme="minorHAnsi" w:hAnsiTheme="minorHAnsi"/>
          <w:b/>
          <w:sz w:val="20"/>
          <w:szCs w:val="20"/>
        </w:rPr>
        <w:t>Budova PS:</w:t>
      </w:r>
      <w:r w:rsidRPr="00780ECA">
        <w:rPr>
          <w:rFonts w:asciiTheme="minorHAnsi" w:hAnsiTheme="minorHAnsi"/>
          <w:sz w:val="20"/>
          <w:szCs w:val="20"/>
        </w:rPr>
        <w:t xml:space="preserve"> </w:t>
      </w:r>
    </w:p>
    <w:p w:rsidR="00780ECA" w:rsidRPr="00780ECA" w:rsidRDefault="00780ECA" w:rsidP="00780ECA">
      <w:pPr>
        <w:pStyle w:val="Default"/>
        <w:jc w:val="both"/>
        <w:rPr>
          <w:rFonts w:asciiTheme="minorHAnsi" w:hAnsiTheme="minorHAnsi" w:cstheme="minorBidi"/>
          <w:color w:val="auto"/>
          <w:sz w:val="20"/>
          <w:szCs w:val="20"/>
        </w:rPr>
      </w:pPr>
      <w:r w:rsidRPr="00780ECA">
        <w:rPr>
          <w:rFonts w:asciiTheme="minorHAnsi" w:hAnsiTheme="minorHAnsi"/>
          <w:b/>
          <w:sz w:val="20"/>
          <w:szCs w:val="20"/>
        </w:rPr>
        <w:t>SO 02</w:t>
      </w:r>
      <w:r w:rsidRPr="00780ECA">
        <w:rPr>
          <w:rFonts w:asciiTheme="minorHAnsi" w:hAnsiTheme="minorHAnsi"/>
          <w:sz w:val="20"/>
          <w:szCs w:val="20"/>
        </w:rPr>
        <w:t xml:space="preserve"> - </w:t>
      </w:r>
      <w:r w:rsidRPr="00780ECA">
        <w:rPr>
          <w:rFonts w:asciiTheme="minorHAnsi" w:hAnsiTheme="minorHAnsi" w:cstheme="minorBidi"/>
          <w:color w:val="auto"/>
          <w:sz w:val="20"/>
          <w:szCs w:val="20"/>
        </w:rPr>
        <w:t xml:space="preserve">Svislé nosné konstrukce obou dotčených objektů (vč. atik střešních konstrukcí) budou zatepleny </w:t>
      </w:r>
      <w:r w:rsidR="004D37D6">
        <w:rPr>
          <w:rFonts w:asciiTheme="minorHAnsi" w:hAnsiTheme="minorHAnsi" w:cstheme="minorBidi"/>
          <w:color w:val="auto"/>
          <w:sz w:val="20"/>
          <w:szCs w:val="20"/>
        </w:rPr>
        <w:t>k</w:t>
      </w:r>
      <w:r w:rsidRPr="00780ECA">
        <w:rPr>
          <w:rFonts w:asciiTheme="minorHAnsi" w:hAnsiTheme="minorHAnsi" w:cstheme="minorBidi"/>
          <w:color w:val="auto"/>
          <w:sz w:val="20"/>
          <w:szCs w:val="20"/>
        </w:rPr>
        <w:t>ontaktním zateplovacím systémem, který se bude skládat z vrstvy fasádního polystyrenu a fasádní probarvenou stěrkovou omítkou. Sokl nad úrovní okolních zpevněných ploch bude zateplen pomocí fasádních polystyrenových desek. KZS v místě anglických dvorků bude tvořen tepelnou izolací z desek XPS</w:t>
      </w:r>
      <w:r w:rsidR="004965F9">
        <w:rPr>
          <w:rFonts w:asciiTheme="minorHAnsi" w:hAnsiTheme="minorHAnsi" w:cstheme="minorBidi"/>
          <w:color w:val="auto"/>
          <w:sz w:val="20"/>
          <w:szCs w:val="20"/>
        </w:rPr>
        <w:t xml:space="preserve">. </w:t>
      </w:r>
      <w:r w:rsidRPr="00780ECA">
        <w:rPr>
          <w:rFonts w:asciiTheme="minorHAnsi" w:hAnsiTheme="minorHAnsi" w:cstheme="minorBidi"/>
          <w:color w:val="auto"/>
          <w:sz w:val="20"/>
          <w:szCs w:val="20"/>
        </w:rPr>
        <w:t>Na očištěný, vyspravený a penetrovaný horní povrch atikového zdiva bude provedena srovnávací vrstva betonové mazaniny a podklad bude osazena vrstva tvárnic. Zvýšená atika i její vnitřní strava bude zateplena KZS a oplechována. Stávající vzduchová mezera mezi zdivem atiky a spádovou vrstvou bude zaslepena a stávající větrací kanálky budou zrušeny a zaslepeny. Obdobným způsobem bude připraven i podklad horního líce atikového zdiva objektu PS. Tady vzhledem k výšce atiky a velikosti objektu bude na zapraveném atikovém zdivu vytvořen ŽB věnec, za použití klasického dřevěného bednění.</w:t>
      </w:r>
    </w:p>
    <w:p w:rsidR="00780ECA" w:rsidRPr="00780ECA" w:rsidRDefault="00780ECA" w:rsidP="00780ECA">
      <w:pPr>
        <w:pStyle w:val="Odstavecseseznamem"/>
        <w:numPr>
          <w:ilvl w:val="0"/>
          <w:numId w:val="35"/>
        </w:numPr>
        <w:spacing w:before="120" w:after="0"/>
        <w:ind w:left="714" w:hanging="357"/>
        <w:jc w:val="both"/>
        <w:rPr>
          <w:b/>
          <w:sz w:val="20"/>
          <w:szCs w:val="20"/>
        </w:rPr>
      </w:pPr>
      <w:r w:rsidRPr="00780ECA">
        <w:rPr>
          <w:b/>
          <w:sz w:val="20"/>
          <w:szCs w:val="20"/>
        </w:rPr>
        <w:t>Vodorovné konstrukce</w:t>
      </w:r>
    </w:p>
    <w:p w:rsidR="00780ECA" w:rsidRPr="00780ECA" w:rsidRDefault="00780ECA" w:rsidP="00780ECA">
      <w:pPr>
        <w:pStyle w:val="Default"/>
        <w:rPr>
          <w:rFonts w:asciiTheme="minorHAnsi" w:hAnsiTheme="minorHAnsi"/>
          <w:sz w:val="20"/>
          <w:szCs w:val="20"/>
        </w:rPr>
      </w:pPr>
      <w:r w:rsidRPr="00780ECA">
        <w:rPr>
          <w:rFonts w:asciiTheme="minorHAnsi" w:hAnsiTheme="minorHAnsi"/>
          <w:b/>
          <w:sz w:val="20"/>
          <w:szCs w:val="20"/>
        </w:rPr>
        <w:t>Budova PS:</w:t>
      </w:r>
      <w:r w:rsidRPr="00780ECA">
        <w:rPr>
          <w:rFonts w:asciiTheme="minorHAnsi" w:hAnsiTheme="minorHAnsi"/>
          <w:sz w:val="20"/>
          <w:szCs w:val="20"/>
        </w:rPr>
        <w:t xml:space="preserve"> </w:t>
      </w:r>
    </w:p>
    <w:p w:rsidR="00390434" w:rsidRDefault="00780ECA" w:rsidP="00780ECA">
      <w:pPr>
        <w:autoSpaceDE w:val="0"/>
        <w:autoSpaceDN w:val="0"/>
        <w:adjustRightInd w:val="0"/>
        <w:spacing w:after="0" w:line="240" w:lineRule="auto"/>
        <w:jc w:val="both"/>
        <w:rPr>
          <w:sz w:val="20"/>
          <w:szCs w:val="20"/>
        </w:rPr>
      </w:pPr>
      <w:r w:rsidRPr="00780ECA">
        <w:rPr>
          <w:b/>
          <w:sz w:val="20"/>
          <w:szCs w:val="20"/>
        </w:rPr>
        <w:t>SO 02</w:t>
      </w:r>
      <w:r w:rsidRPr="00780ECA">
        <w:rPr>
          <w:sz w:val="20"/>
          <w:szCs w:val="20"/>
        </w:rPr>
        <w:t xml:space="preserve"> - Kolem objektu bude v místě výkopu zřízeno napojení na stávající zpevněné plochy a okolní rostlý terén. Napojení na stávající plochy z ŽB prefabrikovaných panelů bude provedeno pomocí souvrství s pojízdnou plochou z asfaltového betonu. Napojení na stávající rostlý terén z uliční strany objektu PS bude provedeno souvrstvím okapového chodníku s vrstvou z betonové velkoformátové dlažby. Okapový chodník bude lemován zahradními obrubníky do betonového lože. Nájezd do garáží v objektu PS, místnost 1.08</w:t>
      </w:r>
      <w:r w:rsidR="004965F9">
        <w:rPr>
          <w:sz w:val="20"/>
          <w:szCs w:val="20"/>
        </w:rPr>
        <w:t xml:space="preserve"> </w:t>
      </w:r>
      <w:r w:rsidRPr="00780ECA">
        <w:rPr>
          <w:sz w:val="20"/>
          <w:szCs w:val="20"/>
        </w:rPr>
        <w:t>bude řešen ve sklonu s povrchovou úpravou asfaltovým betonem pro obrusné vrstvy. Vjezd bude lemován obrubníkem tzv. naležato do betonového lože.</w:t>
      </w:r>
      <w:r>
        <w:rPr>
          <w:sz w:val="20"/>
          <w:szCs w:val="20"/>
        </w:rPr>
        <w:t xml:space="preserve"> </w:t>
      </w:r>
      <w:r w:rsidRPr="00780ECA">
        <w:rPr>
          <w:sz w:val="20"/>
          <w:szCs w:val="20"/>
        </w:rPr>
        <w:t>Atika bude vybavena bezpečnostními přepady. Balkony (2.NP a 3.NP - objekt PS) budou opatřeny tepelně izolační vrstvou, roznášecí betonovou vrstvou, hydroizolací a podkladním souvrstvím nášlapné vrstvy z mrazuvzdorné keramické dlažby. V místě napojení keramické dlažby na KZS bude instalován keramický sokl. Konstrukce balkonu bude ze spodu i z čelní strany obalena tepelnou izolací v souvrství KZS. Markýzy na fasádě objektu PS budou opatřeny tepelně-izolační vrstvou a oplechování</w:t>
      </w:r>
      <w:r w:rsidR="00246774">
        <w:rPr>
          <w:sz w:val="20"/>
          <w:szCs w:val="20"/>
        </w:rPr>
        <w:t>m</w:t>
      </w:r>
      <w:r w:rsidRPr="00780ECA">
        <w:rPr>
          <w:sz w:val="20"/>
          <w:szCs w:val="20"/>
        </w:rPr>
        <w:t xml:space="preserve">. </w:t>
      </w:r>
    </w:p>
    <w:p w:rsidR="004A75DB" w:rsidRPr="00780ECA" w:rsidRDefault="004A75DB" w:rsidP="00780ECA">
      <w:pPr>
        <w:autoSpaceDE w:val="0"/>
        <w:autoSpaceDN w:val="0"/>
        <w:adjustRightInd w:val="0"/>
        <w:spacing w:after="0" w:line="240" w:lineRule="auto"/>
        <w:jc w:val="both"/>
        <w:rPr>
          <w:sz w:val="20"/>
          <w:szCs w:val="20"/>
        </w:rPr>
      </w:pPr>
    </w:p>
    <w:p w:rsidR="00780ECA" w:rsidRDefault="00780ECA" w:rsidP="005A7D55">
      <w:pPr>
        <w:pStyle w:val="Odstavecseseznamem"/>
        <w:numPr>
          <w:ilvl w:val="0"/>
          <w:numId w:val="35"/>
        </w:numPr>
        <w:spacing w:after="0" w:line="240" w:lineRule="auto"/>
        <w:ind w:left="714" w:hanging="357"/>
        <w:jc w:val="both"/>
        <w:rPr>
          <w:b/>
          <w:sz w:val="20"/>
          <w:szCs w:val="20"/>
        </w:rPr>
      </w:pPr>
      <w:r w:rsidRPr="00780ECA">
        <w:rPr>
          <w:b/>
          <w:sz w:val="20"/>
          <w:szCs w:val="20"/>
        </w:rPr>
        <w:t>Hydroizolace</w:t>
      </w:r>
    </w:p>
    <w:p w:rsidR="005A7D55" w:rsidRPr="005A7D55" w:rsidRDefault="005A7D55" w:rsidP="005A7D55">
      <w:pPr>
        <w:spacing w:after="0" w:line="240" w:lineRule="auto"/>
        <w:jc w:val="both"/>
        <w:rPr>
          <w:b/>
          <w:sz w:val="20"/>
          <w:szCs w:val="20"/>
        </w:rPr>
      </w:pPr>
      <w:r w:rsidRPr="005A7D55">
        <w:rPr>
          <w:b/>
          <w:sz w:val="20"/>
          <w:szCs w:val="20"/>
        </w:rPr>
        <w:t>Budova PS:</w:t>
      </w:r>
    </w:p>
    <w:p w:rsidR="00780ECA" w:rsidRDefault="00780ECA" w:rsidP="00780ECA">
      <w:pPr>
        <w:autoSpaceDE w:val="0"/>
        <w:autoSpaceDN w:val="0"/>
        <w:adjustRightInd w:val="0"/>
        <w:spacing w:after="0" w:line="240" w:lineRule="auto"/>
        <w:jc w:val="both"/>
        <w:rPr>
          <w:sz w:val="20"/>
          <w:szCs w:val="20"/>
        </w:rPr>
      </w:pPr>
      <w:r w:rsidRPr="00780ECA">
        <w:rPr>
          <w:b/>
          <w:sz w:val="20"/>
          <w:szCs w:val="20"/>
        </w:rPr>
        <w:t>SO 02</w:t>
      </w:r>
      <w:r w:rsidRPr="00780ECA">
        <w:rPr>
          <w:sz w:val="20"/>
          <w:szCs w:val="20"/>
        </w:rPr>
        <w:t xml:space="preserve"> - Instalovány budou jednosložkové cementové hydroizolační hmoty na souvrstvích balkónů a markýz. Při prací na uložení povrchové asfaltové vrstvy budou ve skladbě použity, tepelná izolace soklu, nopová fólie, která zamezí propálení horkého asfaltu do skladby zateplení. Po odstranění stávající hydroizolace základů bude natavena celoplošně na zdivo (předem očištěné a opatřeno penetrací)</w:t>
      </w:r>
      <w:r w:rsidR="00246774">
        <w:rPr>
          <w:sz w:val="20"/>
          <w:szCs w:val="20"/>
        </w:rPr>
        <w:t>,</w:t>
      </w:r>
      <w:r w:rsidRPr="00780ECA">
        <w:rPr>
          <w:sz w:val="20"/>
          <w:szCs w:val="20"/>
        </w:rPr>
        <w:t xml:space="preserve"> hydroizolace z SBS modifikovaných asfaltových pásů s nosnou polyesterovou rohoží.</w:t>
      </w:r>
    </w:p>
    <w:p w:rsidR="005A7D55" w:rsidRPr="00780ECA" w:rsidRDefault="005A7D55" w:rsidP="00780ECA">
      <w:pPr>
        <w:autoSpaceDE w:val="0"/>
        <w:autoSpaceDN w:val="0"/>
        <w:adjustRightInd w:val="0"/>
        <w:spacing w:after="0" w:line="240" w:lineRule="auto"/>
        <w:jc w:val="both"/>
        <w:rPr>
          <w:b/>
          <w:sz w:val="20"/>
          <w:szCs w:val="20"/>
        </w:rPr>
      </w:pPr>
    </w:p>
    <w:p w:rsidR="00780ECA" w:rsidRDefault="00780ECA" w:rsidP="005A7D55">
      <w:pPr>
        <w:pStyle w:val="Odstavecseseznamem"/>
        <w:numPr>
          <w:ilvl w:val="0"/>
          <w:numId w:val="35"/>
        </w:numPr>
        <w:spacing w:after="0" w:line="240" w:lineRule="auto"/>
        <w:ind w:left="714" w:hanging="357"/>
        <w:jc w:val="both"/>
        <w:rPr>
          <w:b/>
          <w:sz w:val="20"/>
          <w:szCs w:val="20"/>
        </w:rPr>
      </w:pPr>
      <w:r w:rsidRPr="00780ECA">
        <w:rPr>
          <w:b/>
          <w:sz w:val="20"/>
          <w:szCs w:val="20"/>
        </w:rPr>
        <w:t>Výplně otvorů</w:t>
      </w:r>
    </w:p>
    <w:p w:rsidR="005A7D55" w:rsidRPr="005A7D55" w:rsidRDefault="005A7D55" w:rsidP="005A7D55">
      <w:pPr>
        <w:spacing w:after="0" w:line="240" w:lineRule="auto"/>
        <w:jc w:val="both"/>
        <w:rPr>
          <w:b/>
          <w:sz w:val="20"/>
          <w:szCs w:val="20"/>
        </w:rPr>
      </w:pPr>
      <w:r w:rsidRPr="005A7D55">
        <w:rPr>
          <w:b/>
          <w:sz w:val="20"/>
          <w:szCs w:val="20"/>
        </w:rPr>
        <w:t>Budova PS:</w:t>
      </w:r>
    </w:p>
    <w:p w:rsidR="00780ECA" w:rsidRDefault="00780ECA" w:rsidP="00780ECA">
      <w:pPr>
        <w:autoSpaceDE w:val="0"/>
        <w:autoSpaceDN w:val="0"/>
        <w:adjustRightInd w:val="0"/>
        <w:spacing w:after="0" w:line="240" w:lineRule="auto"/>
        <w:jc w:val="both"/>
        <w:rPr>
          <w:sz w:val="20"/>
          <w:szCs w:val="20"/>
        </w:rPr>
      </w:pPr>
      <w:r w:rsidRPr="00780ECA">
        <w:rPr>
          <w:b/>
          <w:sz w:val="20"/>
          <w:szCs w:val="20"/>
        </w:rPr>
        <w:t>SO 02</w:t>
      </w:r>
      <w:r w:rsidRPr="00780ECA">
        <w:rPr>
          <w:sz w:val="20"/>
          <w:szCs w:val="20"/>
        </w:rPr>
        <w:t xml:space="preserve"> - Po provedení KZS budou osazeny vnější parapety.</w:t>
      </w:r>
    </w:p>
    <w:p w:rsidR="005A7D55" w:rsidRPr="00780ECA" w:rsidRDefault="005A7D55" w:rsidP="00780ECA">
      <w:pPr>
        <w:autoSpaceDE w:val="0"/>
        <w:autoSpaceDN w:val="0"/>
        <w:adjustRightInd w:val="0"/>
        <w:spacing w:after="0" w:line="240" w:lineRule="auto"/>
        <w:jc w:val="both"/>
        <w:rPr>
          <w:sz w:val="20"/>
          <w:szCs w:val="20"/>
        </w:rPr>
      </w:pPr>
    </w:p>
    <w:p w:rsidR="00780ECA" w:rsidRDefault="00780ECA" w:rsidP="005A7D55">
      <w:pPr>
        <w:pStyle w:val="Odstavecseseznamem"/>
        <w:numPr>
          <w:ilvl w:val="0"/>
          <w:numId w:val="35"/>
        </w:numPr>
        <w:spacing w:after="0" w:line="240" w:lineRule="auto"/>
        <w:ind w:left="714" w:hanging="357"/>
        <w:jc w:val="both"/>
        <w:rPr>
          <w:b/>
          <w:sz w:val="20"/>
          <w:szCs w:val="20"/>
        </w:rPr>
      </w:pPr>
      <w:r w:rsidRPr="00780ECA">
        <w:rPr>
          <w:b/>
          <w:sz w:val="20"/>
          <w:szCs w:val="20"/>
        </w:rPr>
        <w:t>Klempířské prvky</w:t>
      </w:r>
    </w:p>
    <w:p w:rsidR="005A7D55" w:rsidRPr="005A7D55" w:rsidRDefault="005A7D55" w:rsidP="005A7D55">
      <w:pPr>
        <w:spacing w:after="0" w:line="240" w:lineRule="auto"/>
        <w:jc w:val="both"/>
        <w:rPr>
          <w:b/>
          <w:sz w:val="20"/>
          <w:szCs w:val="20"/>
        </w:rPr>
      </w:pPr>
      <w:r w:rsidRPr="005A7D55">
        <w:rPr>
          <w:b/>
          <w:sz w:val="20"/>
          <w:szCs w:val="20"/>
        </w:rPr>
        <w:t>Budova PS:</w:t>
      </w:r>
    </w:p>
    <w:p w:rsidR="00780ECA" w:rsidRDefault="00780ECA" w:rsidP="00780ECA">
      <w:pPr>
        <w:autoSpaceDE w:val="0"/>
        <w:autoSpaceDN w:val="0"/>
        <w:adjustRightInd w:val="0"/>
        <w:spacing w:after="0" w:line="240" w:lineRule="auto"/>
        <w:jc w:val="both"/>
        <w:rPr>
          <w:sz w:val="20"/>
          <w:szCs w:val="20"/>
        </w:rPr>
      </w:pPr>
      <w:r w:rsidRPr="00780ECA">
        <w:rPr>
          <w:b/>
          <w:sz w:val="20"/>
          <w:szCs w:val="20"/>
        </w:rPr>
        <w:lastRenderedPageBreak/>
        <w:t>SO 02</w:t>
      </w:r>
      <w:r w:rsidRPr="00780ECA">
        <w:rPr>
          <w:sz w:val="20"/>
          <w:szCs w:val="20"/>
        </w:rPr>
        <w:t xml:space="preserve"> - Klempířské prvky budou provedeny v materiálové variantě - poplast. Budou osazeny žlaby, svody, oplechování atik, balkónů a markýz. U okenních otvorů budou osazeny parapety a u balkonových dveří bude osazeno oplechování přechodu mezi konstrukcemi. </w:t>
      </w:r>
      <w:r w:rsidR="00246774">
        <w:rPr>
          <w:sz w:val="20"/>
          <w:szCs w:val="20"/>
        </w:rPr>
        <w:t>Z</w:t>
      </w:r>
      <w:r w:rsidRPr="00780ECA">
        <w:rPr>
          <w:sz w:val="20"/>
          <w:szCs w:val="20"/>
        </w:rPr>
        <w:t xml:space="preserve">ateplení štítu bude zataženo k povrchu střešního pláště sousedícího objektu (parc.č. 4033) ve správě ČD a.s. - RSM a následně oplechováno. </w:t>
      </w:r>
    </w:p>
    <w:p w:rsidR="005A7D55" w:rsidRPr="00780ECA" w:rsidRDefault="005A7D55" w:rsidP="00780ECA">
      <w:pPr>
        <w:autoSpaceDE w:val="0"/>
        <w:autoSpaceDN w:val="0"/>
        <w:adjustRightInd w:val="0"/>
        <w:spacing w:after="0" w:line="240" w:lineRule="auto"/>
        <w:jc w:val="both"/>
        <w:rPr>
          <w:sz w:val="20"/>
          <w:szCs w:val="20"/>
        </w:rPr>
      </w:pPr>
    </w:p>
    <w:p w:rsidR="00780ECA" w:rsidRDefault="00780ECA" w:rsidP="005A7D55">
      <w:pPr>
        <w:pStyle w:val="Odstavecseseznamem"/>
        <w:numPr>
          <w:ilvl w:val="0"/>
          <w:numId w:val="35"/>
        </w:numPr>
        <w:spacing w:after="0" w:line="240" w:lineRule="auto"/>
        <w:ind w:left="714" w:hanging="357"/>
        <w:jc w:val="both"/>
        <w:rPr>
          <w:b/>
          <w:sz w:val="20"/>
          <w:szCs w:val="20"/>
        </w:rPr>
      </w:pPr>
      <w:r w:rsidRPr="00780ECA">
        <w:rPr>
          <w:b/>
          <w:sz w:val="20"/>
          <w:szCs w:val="20"/>
        </w:rPr>
        <w:t xml:space="preserve">Zámečnické prvky </w:t>
      </w:r>
    </w:p>
    <w:p w:rsidR="005A7D55" w:rsidRPr="005A7D55" w:rsidRDefault="005A7D55" w:rsidP="005A7D55">
      <w:pPr>
        <w:spacing w:after="0" w:line="240" w:lineRule="auto"/>
        <w:jc w:val="both"/>
        <w:rPr>
          <w:b/>
          <w:sz w:val="20"/>
          <w:szCs w:val="20"/>
        </w:rPr>
      </w:pPr>
      <w:r w:rsidRPr="005A7D55">
        <w:rPr>
          <w:b/>
          <w:sz w:val="20"/>
          <w:szCs w:val="20"/>
        </w:rPr>
        <w:t>Budova PS:</w:t>
      </w:r>
    </w:p>
    <w:p w:rsidR="00780ECA" w:rsidRDefault="00780ECA" w:rsidP="00780ECA">
      <w:pPr>
        <w:spacing w:after="0" w:line="240" w:lineRule="auto"/>
        <w:jc w:val="both"/>
        <w:rPr>
          <w:sz w:val="20"/>
          <w:szCs w:val="20"/>
        </w:rPr>
      </w:pPr>
      <w:r w:rsidRPr="00780ECA">
        <w:rPr>
          <w:b/>
          <w:sz w:val="20"/>
          <w:szCs w:val="20"/>
        </w:rPr>
        <w:t>SO 02</w:t>
      </w:r>
      <w:r w:rsidRPr="00780ECA">
        <w:rPr>
          <w:sz w:val="20"/>
          <w:szCs w:val="20"/>
        </w:rPr>
        <w:t xml:space="preserve"> - Na fasádě obou objektů budou osazeny ocelové žebříky pro přístup na střešní plášť a na balkonech bude osazeno ocelové zábradlí.</w:t>
      </w:r>
    </w:p>
    <w:p w:rsidR="00390434" w:rsidRPr="00390434" w:rsidRDefault="00390434" w:rsidP="00390434">
      <w:pPr>
        <w:pStyle w:val="Odstavecseseznamem"/>
        <w:numPr>
          <w:ilvl w:val="0"/>
          <w:numId w:val="35"/>
        </w:numPr>
        <w:spacing w:before="120" w:after="0"/>
        <w:ind w:left="714" w:hanging="357"/>
        <w:jc w:val="both"/>
        <w:rPr>
          <w:b/>
          <w:sz w:val="20"/>
          <w:szCs w:val="20"/>
        </w:rPr>
      </w:pPr>
      <w:r>
        <w:rPr>
          <w:b/>
          <w:sz w:val="20"/>
          <w:szCs w:val="20"/>
        </w:rPr>
        <w:t>Elektroinstalace</w:t>
      </w:r>
    </w:p>
    <w:p w:rsidR="00780ECA" w:rsidRPr="00780ECA" w:rsidRDefault="00780ECA" w:rsidP="00780ECA">
      <w:pPr>
        <w:pStyle w:val="Default"/>
        <w:rPr>
          <w:rFonts w:asciiTheme="minorHAnsi" w:hAnsiTheme="minorHAnsi"/>
          <w:sz w:val="20"/>
          <w:szCs w:val="20"/>
        </w:rPr>
      </w:pPr>
      <w:r w:rsidRPr="00780ECA">
        <w:rPr>
          <w:rFonts w:asciiTheme="minorHAnsi" w:hAnsiTheme="minorHAnsi"/>
          <w:b/>
          <w:sz w:val="20"/>
          <w:szCs w:val="20"/>
        </w:rPr>
        <w:t>Budova PS:</w:t>
      </w:r>
      <w:r w:rsidRPr="00780ECA">
        <w:rPr>
          <w:rFonts w:asciiTheme="minorHAnsi" w:hAnsiTheme="minorHAnsi"/>
          <w:sz w:val="20"/>
          <w:szCs w:val="20"/>
        </w:rPr>
        <w:t xml:space="preserve"> </w:t>
      </w:r>
    </w:p>
    <w:p w:rsidR="00390434" w:rsidRPr="00780ECA" w:rsidRDefault="00780ECA" w:rsidP="00780ECA">
      <w:pPr>
        <w:spacing w:after="0" w:line="240" w:lineRule="auto"/>
        <w:jc w:val="both"/>
        <w:rPr>
          <w:sz w:val="20"/>
          <w:szCs w:val="20"/>
        </w:rPr>
      </w:pPr>
      <w:r w:rsidRPr="00780ECA">
        <w:rPr>
          <w:b/>
          <w:sz w:val="20"/>
          <w:szCs w:val="20"/>
        </w:rPr>
        <w:t>SO 02</w:t>
      </w:r>
      <w:r w:rsidRPr="00780ECA">
        <w:rPr>
          <w:sz w:val="20"/>
          <w:szCs w:val="20"/>
        </w:rPr>
        <w:t xml:space="preserve"> -  Bude instalována zařízení ochrany před bleskem a přepětím včetně revizí.</w:t>
      </w:r>
    </w:p>
    <w:p w:rsidR="00780ECA" w:rsidRPr="00780ECA" w:rsidRDefault="00780ECA" w:rsidP="00780ECA">
      <w:pPr>
        <w:pStyle w:val="Styl1"/>
        <w:spacing w:before="240"/>
        <w:ind w:left="284" w:hanging="284"/>
        <w:jc w:val="both"/>
        <w:rPr>
          <w:rFonts w:asciiTheme="minorHAnsi" w:hAnsiTheme="minorHAnsi"/>
          <w:b/>
          <w:color w:val="auto"/>
          <w:sz w:val="20"/>
          <w:szCs w:val="20"/>
        </w:rPr>
      </w:pPr>
      <w:r w:rsidRPr="00780ECA">
        <w:rPr>
          <w:rFonts w:asciiTheme="minorHAnsi" w:hAnsiTheme="minorHAnsi"/>
          <w:b/>
          <w:color w:val="auto"/>
          <w:sz w:val="20"/>
          <w:szCs w:val="20"/>
        </w:rPr>
        <w:t>Zásady organizace výstavby</w:t>
      </w:r>
    </w:p>
    <w:p w:rsidR="00780ECA" w:rsidRPr="00780ECA" w:rsidRDefault="00780ECA" w:rsidP="00780ECA">
      <w:pPr>
        <w:spacing w:after="0" w:line="240" w:lineRule="auto"/>
        <w:jc w:val="both"/>
        <w:rPr>
          <w:sz w:val="20"/>
          <w:szCs w:val="20"/>
        </w:rPr>
      </w:pPr>
      <w:r w:rsidRPr="00780ECA">
        <w:rPr>
          <w:sz w:val="20"/>
          <w:szCs w:val="20"/>
        </w:rPr>
        <w:t xml:space="preserve">Místo provádění prací bude vždy odděleno od prostor, kde se bude pohybovat veřejnost oplocením. Vždy opatřené výstražnými bezpečnostními cedulemi. </w:t>
      </w:r>
    </w:p>
    <w:p w:rsidR="00780ECA" w:rsidRPr="00F32CDC" w:rsidRDefault="00780ECA" w:rsidP="00780ECA">
      <w:pPr>
        <w:spacing w:before="60" w:after="0" w:line="240" w:lineRule="auto"/>
        <w:jc w:val="both"/>
        <w:rPr>
          <w:sz w:val="20"/>
          <w:szCs w:val="20"/>
        </w:rPr>
      </w:pPr>
      <w:r w:rsidRPr="00F32CDC">
        <w:rPr>
          <w:sz w:val="20"/>
          <w:szCs w:val="20"/>
        </w:rPr>
        <w:t>Materiál a zařízení staveniště (sklady, šatna, soc. zařízení) zhotovitele lze složit</w:t>
      </w:r>
      <w:r w:rsidR="002E036B">
        <w:rPr>
          <w:sz w:val="20"/>
          <w:szCs w:val="20"/>
        </w:rPr>
        <w:t xml:space="preserve"> ve dvoře budovy na pozemku ČD, </w:t>
      </w:r>
      <w:r w:rsidRPr="00F32CDC">
        <w:rPr>
          <w:sz w:val="20"/>
          <w:szCs w:val="20"/>
        </w:rPr>
        <w:t>a.s.</w:t>
      </w:r>
    </w:p>
    <w:p w:rsidR="00780ECA" w:rsidRPr="00780ECA" w:rsidRDefault="00780ECA" w:rsidP="00780ECA">
      <w:pPr>
        <w:spacing w:before="60" w:after="0" w:line="240" w:lineRule="auto"/>
        <w:jc w:val="both"/>
        <w:rPr>
          <w:sz w:val="20"/>
          <w:szCs w:val="20"/>
        </w:rPr>
      </w:pPr>
      <w:r w:rsidRPr="00780ECA">
        <w:rPr>
          <w:sz w:val="20"/>
          <w:szCs w:val="20"/>
        </w:rPr>
        <w:t xml:space="preserve">Veškeré plochy zasažené staveništěm a činností Zhotovitele musí být po skončení prací uvedeny do původního stavu. </w:t>
      </w:r>
    </w:p>
    <w:p w:rsidR="00780ECA" w:rsidRPr="00780ECA" w:rsidRDefault="00780ECA" w:rsidP="00780ECA">
      <w:pPr>
        <w:spacing w:before="60" w:after="0" w:line="240" w:lineRule="auto"/>
        <w:jc w:val="both"/>
        <w:rPr>
          <w:sz w:val="20"/>
          <w:szCs w:val="20"/>
        </w:rPr>
      </w:pPr>
      <w:r w:rsidRPr="00780ECA">
        <w:rPr>
          <w:sz w:val="20"/>
          <w:szCs w:val="20"/>
        </w:rPr>
        <w:t>Přípojný bod elektrické energie bude ve stávajícím rozvaděči, do kterého bude napojen staveništní rozvaděč s měřičem spotřeby. Přípojný bod vody, pro potřeby stavby, bude ze stávajících rozvodů, zhotovitel si na vlastní náklady osadí podružný vodoměr. Počáteční stavy budou uvedeny ve stavebním deníku.</w:t>
      </w:r>
    </w:p>
    <w:p w:rsidR="00780ECA" w:rsidRPr="00780ECA" w:rsidRDefault="00780ECA" w:rsidP="00780ECA">
      <w:pPr>
        <w:spacing w:before="60" w:after="0" w:line="240" w:lineRule="auto"/>
        <w:jc w:val="both"/>
        <w:rPr>
          <w:sz w:val="20"/>
          <w:szCs w:val="20"/>
        </w:rPr>
      </w:pPr>
      <w:r w:rsidRPr="00780ECA">
        <w:rPr>
          <w:sz w:val="20"/>
          <w:szCs w:val="20"/>
        </w:rPr>
        <w:t xml:space="preserve">Při předání a převzetí staveniště zhotovitel stavby předloží objednateli k odsouhlasení harmonogram prací s termíny jednotlivých etap výstavby. Harmonogram bude u jednotlivých prací vycházet z jejich řádných technologických postupů i technologických přestávek, vyplývajících z příslušných norem a technických listů výrobců. </w:t>
      </w:r>
    </w:p>
    <w:p w:rsidR="00780ECA" w:rsidRPr="00780ECA" w:rsidRDefault="00780ECA" w:rsidP="00780ECA">
      <w:pPr>
        <w:spacing w:before="60" w:after="0" w:line="240" w:lineRule="auto"/>
        <w:jc w:val="both"/>
        <w:rPr>
          <w:sz w:val="20"/>
          <w:szCs w:val="20"/>
        </w:rPr>
      </w:pPr>
      <w:r w:rsidRPr="00780ECA">
        <w:rPr>
          <w:sz w:val="20"/>
          <w:szCs w:val="20"/>
        </w:rPr>
        <w:t>Stavba bude prováděna s ohledem na požadavky provozovatelů a správců inženýrských sítí a zařízení, technologií atp., jež se nacházejí v řešeném prostoru a s ohledem na jejich požadavky v rámci příslušných ochranných pásem.</w:t>
      </w:r>
    </w:p>
    <w:p w:rsidR="00780ECA" w:rsidRPr="00780ECA" w:rsidRDefault="00780ECA" w:rsidP="00780ECA">
      <w:pPr>
        <w:spacing w:before="60" w:after="0" w:line="240" w:lineRule="auto"/>
        <w:jc w:val="both"/>
        <w:rPr>
          <w:sz w:val="20"/>
          <w:szCs w:val="20"/>
        </w:rPr>
      </w:pPr>
      <w:r w:rsidRPr="00780ECA">
        <w:rPr>
          <w:sz w:val="20"/>
          <w:szCs w:val="20"/>
        </w:rPr>
        <w:t>V případě archeologického nálezu je třeba oznámit tuto skutečnost příslušnému Památkovému ústavu a zajistit záchranný archeologický výzkum.</w:t>
      </w:r>
    </w:p>
    <w:p w:rsidR="00780ECA" w:rsidRPr="00780ECA" w:rsidRDefault="00780ECA" w:rsidP="00780ECA">
      <w:pPr>
        <w:pStyle w:val="Styl1"/>
        <w:spacing w:before="240"/>
        <w:ind w:left="284" w:hanging="284"/>
        <w:jc w:val="both"/>
        <w:rPr>
          <w:rFonts w:asciiTheme="minorHAnsi" w:hAnsiTheme="minorHAnsi"/>
          <w:b/>
          <w:color w:val="auto"/>
          <w:sz w:val="20"/>
          <w:szCs w:val="20"/>
        </w:rPr>
      </w:pPr>
      <w:r w:rsidRPr="00780ECA">
        <w:rPr>
          <w:rFonts w:asciiTheme="minorHAnsi" w:hAnsiTheme="minorHAnsi"/>
          <w:b/>
          <w:color w:val="auto"/>
          <w:sz w:val="20"/>
          <w:szCs w:val="20"/>
        </w:rPr>
        <w:t>Zvláštní technické podmínky</w:t>
      </w:r>
    </w:p>
    <w:p w:rsidR="00780ECA" w:rsidRPr="00780ECA" w:rsidRDefault="00780ECA" w:rsidP="00780ECA">
      <w:pPr>
        <w:pStyle w:val="Odstavecseseznamem"/>
        <w:numPr>
          <w:ilvl w:val="0"/>
          <w:numId w:val="35"/>
        </w:numPr>
        <w:spacing w:after="0" w:line="240" w:lineRule="auto"/>
        <w:ind w:left="425" w:hanging="357"/>
        <w:jc w:val="both"/>
        <w:rPr>
          <w:sz w:val="20"/>
          <w:szCs w:val="20"/>
        </w:rPr>
      </w:pPr>
      <w:r w:rsidRPr="00780ECA">
        <w:rPr>
          <w:sz w:val="20"/>
          <w:szCs w:val="20"/>
        </w:rPr>
        <w:t>Zhotovitel po celou dobu provádění oprav zabezpečí, aby nedošlo k ohrožení odkrytých konstrukcí, otvorů a prostor pod nimi povětrnostními vlivy a také k poškození okolních konstrukcí také bouraným materiálem a prachem (např. proti poškození podlah, chodníků, kanalizace a ostatních vnitřních rozvodů a zařízení místností, vč. prostor nájemců a bude proveden vždy proveden i řádný úklid okolních ploch a místností.</w:t>
      </w:r>
    </w:p>
    <w:p w:rsidR="00780ECA" w:rsidRPr="00780ECA" w:rsidRDefault="00780ECA" w:rsidP="00780ECA">
      <w:pPr>
        <w:pStyle w:val="Odstavecseseznamem"/>
        <w:numPr>
          <w:ilvl w:val="0"/>
          <w:numId w:val="35"/>
        </w:numPr>
        <w:spacing w:before="60" w:after="0" w:line="240" w:lineRule="auto"/>
        <w:ind w:left="425" w:hanging="357"/>
        <w:jc w:val="both"/>
        <w:rPr>
          <w:sz w:val="20"/>
          <w:szCs w:val="20"/>
        </w:rPr>
      </w:pPr>
      <w:r w:rsidRPr="00F32CDC">
        <w:rPr>
          <w:rFonts w:asciiTheme="majorHAnsi" w:eastAsiaTheme="majorEastAsia" w:hAnsiTheme="majorHAnsi" w:cstheme="majorBidi"/>
          <w:bCs/>
          <w:color w:val="001F42" w:themeColor="accent1" w:themeShade="BF"/>
          <w:spacing w:val="-6"/>
          <w:sz w:val="20"/>
          <w:szCs w:val="20"/>
        </w:rPr>
        <w:t xml:space="preserve">Pro </w:t>
      </w:r>
      <w:r w:rsidRPr="00780ECA">
        <w:rPr>
          <w:sz w:val="20"/>
          <w:szCs w:val="20"/>
        </w:rPr>
        <w:t>provádění budou dohodnuty s vlastníky dotčených parcel termíny prací tak, aby práce neznemožnily  provozuschopnost technologických zařízení u dotčených prostor budovy.</w:t>
      </w:r>
    </w:p>
    <w:p w:rsidR="00780ECA" w:rsidRPr="00780ECA" w:rsidRDefault="00780ECA" w:rsidP="00780ECA">
      <w:pPr>
        <w:pStyle w:val="Odstavecseseznamem"/>
        <w:numPr>
          <w:ilvl w:val="0"/>
          <w:numId w:val="35"/>
        </w:numPr>
        <w:spacing w:before="60" w:after="0" w:line="240" w:lineRule="auto"/>
        <w:ind w:left="425" w:hanging="357"/>
        <w:jc w:val="both"/>
        <w:rPr>
          <w:sz w:val="20"/>
          <w:szCs w:val="20"/>
        </w:rPr>
      </w:pPr>
      <w:r w:rsidRPr="00780ECA">
        <w:rPr>
          <w:sz w:val="20"/>
          <w:szCs w:val="20"/>
        </w:rPr>
        <w:t>Zhotovitel je pov</w:t>
      </w:r>
      <w:r w:rsidR="00390434">
        <w:rPr>
          <w:sz w:val="20"/>
          <w:szCs w:val="20"/>
        </w:rPr>
        <w:t>inen dbát, aby práce neomezovaly</w:t>
      </w:r>
      <w:r w:rsidRPr="00780ECA">
        <w:rPr>
          <w:sz w:val="20"/>
          <w:szCs w:val="20"/>
        </w:rPr>
        <w:t xml:space="preserve"> provoz a nad přiměřenou míru ani, veřejnost a také uživatele prostor budovy.</w:t>
      </w:r>
    </w:p>
    <w:p w:rsidR="00780ECA" w:rsidRPr="00780ECA" w:rsidRDefault="00780ECA" w:rsidP="00780ECA">
      <w:pPr>
        <w:pStyle w:val="Odstavecseseznamem"/>
        <w:numPr>
          <w:ilvl w:val="0"/>
          <w:numId w:val="35"/>
        </w:numPr>
        <w:spacing w:before="60" w:after="0" w:line="240" w:lineRule="auto"/>
        <w:ind w:left="425" w:hanging="357"/>
        <w:jc w:val="both"/>
        <w:rPr>
          <w:b/>
          <w:sz w:val="20"/>
          <w:szCs w:val="20"/>
        </w:rPr>
      </w:pPr>
      <w:r w:rsidRPr="00780ECA">
        <w:rPr>
          <w:b/>
          <w:sz w:val="20"/>
          <w:szCs w:val="20"/>
        </w:rPr>
        <w:t>Stavba bude prováděna na základě a v souladu s uvedenou projektovou dokumentací, a za splnění podmínek stavebního povolení.</w:t>
      </w:r>
    </w:p>
    <w:p w:rsidR="00780ECA" w:rsidRPr="00780ECA" w:rsidRDefault="00780ECA" w:rsidP="00780ECA">
      <w:pPr>
        <w:pStyle w:val="Odstavecseseznamem"/>
        <w:numPr>
          <w:ilvl w:val="0"/>
          <w:numId w:val="35"/>
        </w:numPr>
        <w:spacing w:before="60" w:after="0" w:line="240" w:lineRule="auto"/>
        <w:ind w:left="425" w:hanging="357"/>
        <w:jc w:val="both"/>
        <w:rPr>
          <w:b/>
          <w:sz w:val="20"/>
          <w:szCs w:val="20"/>
        </w:rPr>
      </w:pPr>
      <w:r w:rsidRPr="00780ECA">
        <w:rPr>
          <w:b/>
          <w:sz w:val="20"/>
          <w:szCs w:val="20"/>
        </w:rPr>
        <w:t>Specifikace jednotlivých částí zakázky a jejich technických řešení je obsažena v projektové dokumentaci. Příslušné části projektové dokumentace jsou přílohou těchto zadávacích podmínek.</w:t>
      </w:r>
    </w:p>
    <w:p w:rsidR="00780ECA" w:rsidRDefault="00F32CDC" w:rsidP="00780ECA">
      <w:pPr>
        <w:pStyle w:val="Styl1"/>
        <w:spacing w:before="240"/>
        <w:ind w:left="284" w:hanging="284"/>
        <w:jc w:val="both"/>
        <w:rPr>
          <w:rFonts w:asciiTheme="minorHAnsi" w:hAnsiTheme="minorHAnsi"/>
          <w:b/>
          <w:color w:val="auto"/>
          <w:sz w:val="20"/>
          <w:szCs w:val="20"/>
        </w:rPr>
      </w:pPr>
      <w:r>
        <w:rPr>
          <w:rFonts w:asciiTheme="minorHAnsi" w:hAnsiTheme="minorHAnsi"/>
          <w:b/>
          <w:color w:val="auto"/>
          <w:sz w:val="20"/>
          <w:szCs w:val="20"/>
        </w:rPr>
        <w:t>Zvláštní podmínky fakturace</w:t>
      </w:r>
      <w:r w:rsidR="00552955">
        <w:rPr>
          <w:rFonts w:asciiTheme="minorHAnsi" w:hAnsiTheme="minorHAnsi"/>
          <w:b/>
          <w:color w:val="auto"/>
          <w:sz w:val="20"/>
          <w:szCs w:val="20"/>
        </w:rPr>
        <w:t>:</w:t>
      </w:r>
    </w:p>
    <w:p w:rsidR="00F32CDC" w:rsidRDefault="00536273" w:rsidP="00536273">
      <w:pPr>
        <w:pStyle w:val="Styl1"/>
        <w:numPr>
          <w:ilvl w:val="0"/>
          <w:numId w:val="0"/>
        </w:numPr>
        <w:spacing w:before="0"/>
        <w:jc w:val="both"/>
        <w:rPr>
          <w:sz w:val="20"/>
          <w:szCs w:val="20"/>
        </w:rPr>
      </w:pPr>
      <w:r>
        <w:rPr>
          <w:sz w:val="20"/>
          <w:szCs w:val="20"/>
        </w:rPr>
        <w:t>Fakturace bude probíhat průběžně, vždy dle skutečně provedených souborech prací – 1 x měsíčně.</w:t>
      </w:r>
    </w:p>
    <w:p w:rsidR="00D926F8" w:rsidRDefault="00D926F8" w:rsidP="00536273">
      <w:pPr>
        <w:pStyle w:val="Styl1"/>
        <w:numPr>
          <w:ilvl w:val="0"/>
          <w:numId w:val="0"/>
        </w:numPr>
        <w:spacing w:before="0"/>
        <w:jc w:val="both"/>
        <w:rPr>
          <w:sz w:val="20"/>
          <w:szCs w:val="20"/>
        </w:rPr>
      </w:pPr>
    </w:p>
    <w:p w:rsidR="00D926F8" w:rsidRPr="00D926F8" w:rsidRDefault="00D926F8" w:rsidP="00D926F8">
      <w:pPr>
        <w:numPr>
          <w:ilvl w:val="12"/>
          <w:numId w:val="0"/>
        </w:numPr>
        <w:tabs>
          <w:tab w:val="left" w:pos="709"/>
        </w:tabs>
        <w:overflowPunct w:val="0"/>
        <w:autoSpaceDE w:val="0"/>
        <w:autoSpaceDN w:val="0"/>
        <w:adjustRightInd w:val="0"/>
        <w:spacing w:before="240" w:after="0" w:line="240" w:lineRule="auto"/>
        <w:textAlignment w:val="baseline"/>
        <w:rPr>
          <w:rFonts w:eastAsiaTheme="majorEastAsia" w:cstheme="majorBidi"/>
          <w:b/>
          <w:bCs/>
          <w:spacing w:val="-6"/>
          <w:sz w:val="20"/>
          <w:szCs w:val="20"/>
        </w:rPr>
      </w:pPr>
      <w:r w:rsidRPr="00D926F8">
        <w:rPr>
          <w:rFonts w:eastAsiaTheme="majorEastAsia" w:cstheme="majorBidi"/>
          <w:b/>
          <w:bCs/>
          <w:spacing w:val="-6"/>
          <w:sz w:val="20"/>
          <w:szCs w:val="20"/>
        </w:rPr>
        <w:t>Doba plnění a místo plnění:</w:t>
      </w:r>
    </w:p>
    <w:p w:rsidR="00D926F8" w:rsidRPr="009208B4" w:rsidRDefault="00D926F8" w:rsidP="00D926F8">
      <w:pPr>
        <w:numPr>
          <w:ilvl w:val="12"/>
          <w:numId w:val="0"/>
        </w:numPr>
        <w:overflowPunct w:val="0"/>
        <w:autoSpaceDE w:val="0"/>
        <w:autoSpaceDN w:val="0"/>
        <w:adjustRightInd w:val="0"/>
        <w:spacing w:before="120" w:after="0" w:line="240" w:lineRule="auto"/>
        <w:ind w:left="2410" w:hanging="1701"/>
        <w:jc w:val="both"/>
        <w:textAlignment w:val="baseline"/>
        <w:rPr>
          <w:rFonts w:eastAsia="Times New Roman" w:cstheme="minorHAnsi"/>
          <w:color w:val="FF0000"/>
          <w:szCs w:val="20"/>
          <w:lang w:eastAsia="cs-CZ"/>
        </w:rPr>
      </w:pPr>
      <w:r w:rsidRPr="00D926F8">
        <w:rPr>
          <w:rFonts w:asciiTheme="majorHAnsi" w:eastAsiaTheme="majorEastAsia" w:hAnsiTheme="majorHAnsi" w:cstheme="majorBidi"/>
          <w:bCs/>
          <w:color w:val="001F42" w:themeColor="accent1" w:themeShade="BF"/>
          <w:spacing w:val="-6"/>
          <w:sz w:val="20"/>
          <w:szCs w:val="20"/>
        </w:rPr>
        <w:t>Termín zahájení   :</w:t>
      </w:r>
      <w:r w:rsidRPr="00D926F8">
        <w:rPr>
          <w:rFonts w:eastAsiaTheme="majorEastAsia" w:cstheme="majorBidi"/>
          <w:b/>
          <w:bCs/>
          <w:spacing w:val="-6"/>
          <w:sz w:val="20"/>
          <w:szCs w:val="20"/>
        </w:rPr>
        <w:t xml:space="preserve">  0</w:t>
      </w:r>
      <w:r w:rsidR="0044046A">
        <w:rPr>
          <w:rFonts w:eastAsiaTheme="majorEastAsia" w:cstheme="majorBidi"/>
          <w:b/>
          <w:bCs/>
          <w:spacing w:val="-6"/>
          <w:sz w:val="20"/>
          <w:szCs w:val="20"/>
        </w:rPr>
        <w:t>5</w:t>
      </w:r>
      <w:r w:rsidRPr="00D926F8">
        <w:rPr>
          <w:rFonts w:eastAsiaTheme="majorEastAsia" w:cstheme="majorBidi"/>
          <w:b/>
          <w:bCs/>
          <w:spacing w:val="-6"/>
          <w:sz w:val="20"/>
          <w:szCs w:val="20"/>
        </w:rPr>
        <w:t>/2021</w:t>
      </w:r>
    </w:p>
    <w:p w:rsidR="00D926F8" w:rsidRPr="009208B4" w:rsidRDefault="00D926F8" w:rsidP="00D926F8">
      <w:pPr>
        <w:numPr>
          <w:ilvl w:val="12"/>
          <w:numId w:val="0"/>
        </w:numPr>
        <w:overflowPunct w:val="0"/>
        <w:autoSpaceDE w:val="0"/>
        <w:autoSpaceDN w:val="0"/>
        <w:adjustRightInd w:val="0"/>
        <w:spacing w:before="120" w:after="0" w:line="240" w:lineRule="auto"/>
        <w:ind w:left="2410" w:hanging="1701"/>
        <w:jc w:val="both"/>
        <w:textAlignment w:val="baseline"/>
        <w:rPr>
          <w:rFonts w:eastAsia="Times New Roman" w:cstheme="minorHAnsi"/>
          <w:color w:val="FF0000"/>
          <w:szCs w:val="20"/>
          <w:lang w:eastAsia="cs-CZ"/>
        </w:rPr>
      </w:pPr>
      <w:r w:rsidRPr="00D926F8">
        <w:rPr>
          <w:rFonts w:asciiTheme="majorHAnsi" w:eastAsiaTheme="majorEastAsia" w:hAnsiTheme="majorHAnsi" w:cstheme="majorBidi"/>
          <w:bCs/>
          <w:color w:val="001F42" w:themeColor="accent1" w:themeShade="BF"/>
          <w:spacing w:val="-6"/>
          <w:sz w:val="20"/>
          <w:szCs w:val="20"/>
        </w:rPr>
        <w:t xml:space="preserve">Termín ukončení : </w:t>
      </w:r>
      <w:r>
        <w:rPr>
          <w:rFonts w:asciiTheme="majorHAnsi" w:eastAsiaTheme="majorEastAsia" w:hAnsiTheme="majorHAnsi" w:cstheme="majorBidi"/>
          <w:bCs/>
          <w:color w:val="001F42" w:themeColor="accent1" w:themeShade="BF"/>
          <w:spacing w:val="-6"/>
          <w:sz w:val="20"/>
          <w:szCs w:val="20"/>
        </w:rPr>
        <w:t xml:space="preserve"> </w:t>
      </w:r>
      <w:r w:rsidR="0044046A">
        <w:rPr>
          <w:rFonts w:eastAsia="Times New Roman" w:cstheme="minorHAnsi"/>
          <w:b/>
          <w:szCs w:val="20"/>
          <w:lang w:eastAsia="cs-CZ"/>
        </w:rPr>
        <w:t xml:space="preserve"> </w:t>
      </w:r>
      <w:r w:rsidR="0044046A">
        <w:rPr>
          <w:rFonts w:eastAsiaTheme="majorEastAsia" w:cstheme="majorBidi"/>
          <w:b/>
          <w:bCs/>
          <w:spacing w:val="-6"/>
          <w:sz w:val="20"/>
          <w:szCs w:val="20"/>
        </w:rPr>
        <w:t>10</w:t>
      </w:r>
      <w:r w:rsidRPr="00D926F8">
        <w:rPr>
          <w:rFonts w:eastAsiaTheme="majorEastAsia" w:cstheme="majorBidi"/>
          <w:b/>
          <w:bCs/>
          <w:spacing w:val="-6"/>
          <w:sz w:val="20"/>
          <w:szCs w:val="20"/>
        </w:rPr>
        <w:t>/2021</w:t>
      </w:r>
    </w:p>
    <w:p w:rsidR="00D926F8" w:rsidRDefault="00D926F8" w:rsidP="00536273">
      <w:pPr>
        <w:pStyle w:val="Styl1"/>
        <w:numPr>
          <w:ilvl w:val="0"/>
          <w:numId w:val="0"/>
        </w:numPr>
        <w:spacing w:before="0"/>
        <w:jc w:val="both"/>
        <w:rPr>
          <w:rFonts w:asciiTheme="minorHAnsi" w:hAnsiTheme="minorHAnsi"/>
          <w:b/>
          <w:color w:val="auto"/>
          <w:sz w:val="20"/>
          <w:szCs w:val="20"/>
        </w:rPr>
      </w:pPr>
    </w:p>
    <w:p w:rsidR="00F32CDC" w:rsidRPr="00780ECA" w:rsidRDefault="00F32CDC" w:rsidP="00780ECA">
      <w:pPr>
        <w:pStyle w:val="Styl1"/>
        <w:spacing w:before="240"/>
        <w:ind w:left="284" w:hanging="284"/>
        <w:jc w:val="both"/>
        <w:rPr>
          <w:rFonts w:asciiTheme="minorHAnsi" w:hAnsiTheme="minorHAnsi"/>
          <w:b/>
          <w:color w:val="auto"/>
          <w:sz w:val="20"/>
          <w:szCs w:val="20"/>
        </w:rPr>
      </w:pPr>
      <w:r w:rsidRPr="00780ECA">
        <w:rPr>
          <w:rFonts w:asciiTheme="minorHAnsi" w:hAnsiTheme="minorHAnsi"/>
          <w:b/>
          <w:color w:val="auto"/>
          <w:sz w:val="20"/>
          <w:szCs w:val="20"/>
        </w:rPr>
        <w:t>Fotodokumentace stávajícího stavu</w:t>
      </w:r>
    </w:p>
    <w:p w:rsidR="00780ECA" w:rsidRDefault="00780ECA" w:rsidP="00780ECA">
      <w:pPr>
        <w:spacing w:after="0" w:line="240" w:lineRule="auto"/>
        <w:jc w:val="both"/>
        <w:rPr>
          <w:i/>
          <w:sz w:val="18"/>
          <w:szCs w:val="18"/>
        </w:rPr>
      </w:pPr>
      <w:r w:rsidRPr="00780ECA">
        <w:rPr>
          <w:i/>
          <w:sz w:val="18"/>
          <w:szCs w:val="18"/>
        </w:rPr>
        <w:t xml:space="preserve">Celkový pohled na </w:t>
      </w:r>
      <w:r w:rsidR="00F32CDC">
        <w:rPr>
          <w:i/>
          <w:sz w:val="18"/>
          <w:szCs w:val="18"/>
        </w:rPr>
        <w:t>objekt provozní budovy od ulice:</w:t>
      </w:r>
    </w:p>
    <w:p w:rsidR="00F32CDC" w:rsidRPr="00780ECA" w:rsidRDefault="00F32CDC" w:rsidP="00780ECA">
      <w:pPr>
        <w:spacing w:after="0" w:line="240" w:lineRule="auto"/>
        <w:jc w:val="both"/>
        <w:rPr>
          <w:i/>
          <w:sz w:val="18"/>
          <w:szCs w:val="18"/>
        </w:rPr>
      </w:pPr>
    </w:p>
    <w:p w:rsidR="00780ECA" w:rsidRDefault="00780ECA" w:rsidP="00780ECA">
      <w:pPr>
        <w:spacing w:after="0" w:line="240" w:lineRule="auto"/>
        <w:jc w:val="center"/>
        <w:rPr>
          <w:sz w:val="20"/>
          <w:szCs w:val="20"/>
        </w:rPr>
      </w:pPr>
      <w:r w:rsidRPr="00780ECA">
        <w:rPr>
          <w:noProof/>
          <w:sz w:val="20"/>
          <w:szCs w:val="20"/>
          <w:lang w:eastAsia="cs-CZ"/>
        </w:rPr>
        <w:drawing>
          <wp:inline distT="0" distB="0" distL="0" distR="0" wp14:anchorId="53087248" wp14:editId="06150934">
            <wp:extent cx="5476875" cy="27432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z_oprava_ps_sumperk_foto03.jpg"/>
                    <pic:cNvPicPr/>
                  </pic:nvPicPr>
                  <pic:blipFill rotWithShape="1">
                    <a:blip r:embed="rId11">
                      <a:extLst>
                        <a:ext uri="{28A0092B-C50C-407E-A947-70E740481C1C}">
                          <a14:useLocalDpi xmlns:a14="http://schemas.microsoft.com/office/drawing/2010/main" val="0"/>
                        </a:ext>
                      </a:extLst>
                    </a:blip>
                    <a:srcRect t="9761" b="23454"/>
                    <a:stretch/>
                  </pic:blipFill>
                  <pic:spPr bwMode="auto">
                    <a:xfrm>
                      <a:off x="0" y="0"/>
                      <a:ext cx="5480008" cy="2744769"/>
                    </a:xfrm>
                    <a:prstGeom prst="rect">
                      <a:avLst/>
                    </a:prstGeom>
                    <a:ln>
                      <a:noFill/>
                    </a:ln>
                    <a:extLst>
                      <a:ext uri="{53640926-AAD7-44D8-BBD7-CCE9431645EC}">
                        <a14:shadowObscured xmlns:a14="http://schemas.microsoft.com/office/drawing/2010/main"/>
                      </a:ext>
                    </a:extLst>
                  </pic:spPr>
                </pic:pic>
              </a:graphicData>
            </a:graphic>
          </wp:inline>
        </w:drawing>
      </w:r>
    </w:p>
    <w:p w:rsidR="00390434" w:rsidRPr="00780ECA" w:rsidRDefault="00390434" w:rsidP="00780ECA">
      <w:pPr>
        <w:spacing w:after="0" w:line="240" w:lineRule="auto"/>
        <w:jc w:val="center"/>
        <w:rPr>
          <w:sz w:val="20"/>
          <w:szCs w:val="20"/>
        </w:rPr>
      </w:pPr>
    </w:p>
    <w:p w:rsidR="00780ECA" w:rsidRPr="00780ECA" w:rsidRDefault="00780ECA" w:rsidP="00780ECA">
      <w:pPr>
        <w:spacing w:after="0" w:line="240" w:lineRule="auto"/>
        <w:jc w:val="both"/>
        <w:rPr>
          <w:i/>
          <w:sz w:val="18"/>
          <w:szCs w:val="18"/>
        </w:rPr>
      </w:pPr>
      <w:r w:rsidRPr="00780ECA">
        <w:rPr>
          <w:i/>
          <w:sz w:val="18"/>
          <w:szCs w:val="18"/>
        </w:rPr>
        <w:t>Celkový pohled od kolejiště:</w:t>
      </w:r>
      <w:r>
        <w:rPr>
          <w:i/>
          <w:sz w:val="18"/>
          <w:szCs w:val="18"/>
        </w:rPr>
        <w:tab/>
        <w:t xml:space="preserve">       </w:t>
      </w:r>
      <w:r w:rsidRPr="00780ECA">
        <w:rPr>
          <w:i/>
          <w:sz w:val="18"/>
          <w:szCs w:val="18"/>
        </w:rPr>
        <w:t xml:space="preserve">        </w:t>
      </w:r>
      <w:r w:rsidR="00F32CDC">
        <w:rPr>
          <w:i/>
          <w:sz w:val="18"/>
          <w:szCs w:val="18"/>
        </w:rPr>
        <w:tab/>
      </w:r>
      <w:r w:rsidR="00F32CDC">
        <w:rPr>
          <w:i/>
          <w:sz w:val="18"/>
          <w:szCs w:val="18"/>
        </w:rPr>
        <w:tab/>
      </w:r>
      <w:r w:rsidRPr="00780ECA">
        <w:rPr>
          <w:i/>
          <w:sz w:val="18"/>
          <w:szCs w:val="18"/>
        </w:rPr>
        <w:t xml:space="preserve"> Cel</w:t>
      </w:r>
      <w:r>
        <w:rPr>
          <w:i/>
          <w:sz w:val="18"/>
          <w:szCs w:val="18"/>
        </w:rPr>
        <w:t>kový pohled ze strany</w:t>
      </w:r>
      <w:r w:rsidRPr="00780ECA">
        <w:rPr>
          <w:i/>
          <w:sz w:val="18"/>
          <w:szCs w:val="18"/>
        </w:rPr>
        <w:t xml:space="preserve"> komunikace:</w:t>
      </w:r>
    </w:p>
    <w:p w:rsidR="00780ECA" w:rsidRDefault="00390434" w:rsidP="00780ECA">
      <w:pPr>
        <w:spacing w:after="0" w:line="240" w:lineRule="auto"/>
        <w:jc w:val="both"/>
        <w:rPr>
          <w:sz w:val="20"/>
          <w:szCs w:val="20"/>
        </w:rPr>
      </w:pPr>
      <w:r w:rsidRPr="00780ECA">
        <w:rPr>
          <w:noProof/>
          <w:sz w:val="20"/>
          <w:szCs w:val="20"/>
          <w:lang w:eastAsia="cs-CZ"/>
        </w:rPr>
        <w:drawing>
          <wp:inline distT="0" distB="0" distL="0" distR="0" wp14:anchorId="00788FD0" wp14:editId="2C31DEDA">
            <wp:extent cx="2617470" cy="2485437"/>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z_oprava_ps_sumperk_foto01.jpg"/>
                    <pic:cNvPicPr/>
                  </pic:nvPicPr>
                  <pic:blipFill rotWithShape="1">
                    <a:blip r:embed="rId12" cstate="print">
                      <a:extLst>
                        <a:ext uri="{28A0092B-C50C-407E-A947-70E740481C1C}">
                          <a14:useLocalDpi xmlns:a14="http://schemas.microsoft.com/office/drawing/2010/main" val="0"/>
                        </a:ext>
                      </a:extLst>
                    </a:blip>
                    <a:srcRect l="34530" r="8149"/>
                    <a:stretch/>
                  </pic:blipFill>
                  <pic:spPr bwMode="auto">
                    <a:xfrm>
                      <a:off x="0" y="0"/>
                      <a:ext cx="2672914" cy="2538084"/>
                    </a:xfrm>
                    <a:prstGeom prst="rect">
                      <a:avLst/>
                    </a:prstGeom>
                    <a:ln>
                      <a:noFill/>
                    </a:ln>
                    <a:extLst>
                      <a:ext uri="{53640926-AAD7-44D8-BBD7-CCE9431645EC}">
                        <a14:shadowObscured xmlns:a14="http://schemas.microsoft.com/office/drawing/2010/main"/>
                      </a:ext>
                    </a:extLst>
                  </pic:spPr>
                </pic:pic>
              </a:graphicData>
            </a:graphic>
          </wp:inline>
        </w:drawing>
      </w:r>
      <w:r w:rsidR="00780ECA" w:rsidRPr="00780ECA">
        <w:rPr>
          <w:noProof/>
          <w:sz w:val="20"/>
          <w:szCs w:val="20"/>
          <w:lang w:eastAsia="cs-CZ"/>
        </w:rPr>
        <w:drawing>
          <wp:inline distT="0" distB="0" distL="0" distR="0" wp14:anchorId="5E8A287A" wp14:editId="753FA895">
            <wp:extent cx="2839767" cy="2494915"/>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z_oprava_ps_sumperk_foto02.jpg"/>
                    <pic:cNvPicPr/>
                  </pic:nvPicPr>
                  <pic:blipFill rotWithShape="1">
                    <a:blip r:embed="rId13" cstate="print">
                      <a:extLst>
                        <a:ext uri="{28A0092B-C50C-407E-A947-70E740481C1C}">
                          <a14:useLocalDpi xmlns:a14="http://schemas.microsoft.com/office/drawing/2010/main" val="0"/>
                        </a:ext>
                      </a:extLst>
                    </a:blip>
                    <a:srcRect l="21823" r="2487"/>
                    <a:stretch/>
                  </pic:blipFill>
                  <pic:spPr bwMode="auto">
                    <a:xfrm>
                      <a:off x="0" y="0"/>
                      <a:ext cx="2881577" cy="2531647"/>
                    </a:xfrm>
                    <a:prstGeom prst="rect">
                      <a:avLst/>
                    </a:prstGeom>
                    <a:ln>
                      <a:noFill/>
                    </a:ln>
                    <a:extLst>
                      <a:ext uri="{53640926-AAD7-44D8-BBD7-CCE9431645EC}">
                        <a14:shadowObscured xmlns:a14="http://schemas.microsoft.com/office/drawing/2010/main"/>
                      </a:ext>
                    </a:extLst>
                  </pic:spPr>
                </pic:pic>
              </a:graphicData>
            </a:graphic>
          </wp:inline>
        </w:drawing>
      </w:r>
    </w:p>
    <w:p w:rsidR="00F32CDC" w:rsidRDefault="00F32CDC" w:rsidP="00780ECA">
      <w:pPr>
        <w:spacing w:after="0" w:line="240" w:lineRule="auto"/>
        <w:jc w:val="both"/>
        <w:rPr>
          <w:sz w:val="20"/>
          <w:szCs w:val="20"/>
        </w:rPr>
      </w:pPr>
    </w:p>
    <w:p w:rsidR="00780ECA" w:rsidRPr="00780ECA" w:rsidRDefault="00780ECA" w:rsidP="00780ECA">
      <w:pPr>
        <w:spacing w:after="0" w:line="240" w:lineRule="auto"/>
        <w:jc w:val="both"/>
        <w:rPr>
          <w:sz w:val="20"/>
          <w:szCs w:val="20"/>
        </w:rPr>
      </w:pPr>
    </w:p>
    <w:p w:rsidR="00780ECA" w:rsidRPr="00780ECA" w:rsidRDefault="00780ECA" w:rsidP="00780ECA">
      <w:pPr>
        <w:pStyle w:val="Styl1"/>
        <w:spacing w:before="240"/>
        <w:ind w:left="284" w:hanging="284"/>
        <w:jc w:val="both"/>
        <w:rPr>
          <w:rFonts w:asciiTheme="minorHAnsi" w:hAnsiTheme="minorHAnsi"/>
          <w:b/>
          <w:color w:val="auto"/>
          <w:sz w:val="20"/>
          <w:szCs w:val="20"/>
        </w:rPr>
      </w:pPr>
      <w:r w:rsidRPr="00780ECA">
        <w:rPr>
          <w:rFonts w:asciiTheme="minorHAnsi" w:hAnsiTheme="minorHAnsi"/>
          <w:b/>
          <w:color w:val="auto"/>
          <w:sz w:val="20"/>
          <w:szCs w:val="20"/>
        </w:rPr>
        <w:t>Odpadové hospodářství</w:t>
      </w:r>
    </w:p>
    <w:p w:rsidR="00780ECA" w:rsidRPr="00780ECA" w:rsidRDefault="00780ECA" w:rsidP="00780ECA">
      <w:pPr>
        <w:spacing w:after="0"/>
        <w:jc w:val="both"/>
        <w:rPr>
          <w:sz w:val="20"/>
          <w:szCs w:val="20"/>
        </w:rPr>
      </w:pPr>
      <w:r w:rsidRPr="00780ECA">
        <w:rPr>
          <w:sz w:val="20"/>
          <w:szCs w:val="20"/>
        </w:rPr>
        <w:t>Během realizace stavby je třeba dbát o maximální opětovné využití vyzískaných materiálů. V případě, že takovéto využití není možné, vznikají odpady, se kterými bude dále nakládáno v souladu se zákonem č. 185/2001 Sb. v platném znění. V rámci realizace stavby přechází všechny povinnosti původce odpadů na zhotovitele, který za účelem jejich plnění ustanoví odpadového hospodáře. Zhotovitel musí zajistit zařazování odpadů podle druhů a kategorií v souladu s Katalogem odpadů (vyhláška č. 93/2016 Sb. v platném znění) a následně odpady utříděné shromažďovat v prostředcích, které zamezí jejich znehodnocení, odcizení nebo úniku. Odstraňování odpadů probíhá prostřednictvím oprávněné osoby, která odpady převezme do svého vlastnictví.</w:t>
      </w:r>
    </w:p>
    <w:p w:rsidR="00780ECA" w:rsidRPr="00780ECA" w:rsidRDefault="00780ECA" w:rsidP="00780ECA">
      <w:pPr>
        <w:spacing w:after="0"/>
        <w:jc w:val="both"/>
        <w:rPr>
          <w:sz w:val="20"/>
          <w:szCs w:val="20"/>
        </w:rPr>
      </w:pPr>
      <w:r w:rsidRPr="00780ECA">
        <w:rPr>
          <w:sz w:val="20"/>
          <w:szCs w:val="20"/>
        </w:rPr>
        <w:t xml:space="preserve">O nakládání s odpady je vedena v souladu s vyhláškou č. 383/2001 Sb. v platném znění průběžná evidence a příslušnému úřadu je každoročně zasíláno hlášení o produkci odpadů a nakládání s nimi. S nebezpečnými odpady je nakládáno na základě příslušného souhlasu a pro každý takovýto odpad je zpracován identifikační list, kterým jsou vybavena místa, kde dochází k nakládání s uvedeným odpadem. Při každé přepravě nebezpečného odpadu jsou vyplňovány evidenční listy a ty zasílány příslušnému úřadu. </w:t>
      </w:r>
    </w:p>
    <w:p w:rsidR="00780ECA" w:rsidRPr="00780ECA" w:rsidRDefault="00780ECA" w:rsidP="00780ECA">
      <w:pPr>
        <w:spacing w:after="0"/>
        <w:jc w:val="both"/>
        <w:rPr>
          <w:sz w:val="20"/>
          <w:szCs w:val="20"/>
        </w:rPr>
      </w:pPr>
    </w:p>
    <w:p w:rsidR="00780ECA" w:rsidRPr="00780ECA" w:rsidRDefault="00780ECA" w:rsidP="00780ECA">
      <w:pPr>
        <w:spacing w:after="0"/>
        <w:jc w:val="both"/>
        <w:rPr>
          <w:sz w:val="20"/>
          <w:szCs w:val="20"/>
        </w:rPr>
      </w:pPr>
      <w:r w:rsidRPr="00780ECA">
        <w:rPr>
          <w:sz w:val="20"/>
          <w:szCs w:val="20"/>
        </w:rPr>
        <w:t>Související předpisy:</w:t>
      </w:r>
    </w:p>
    <w:p w:rsidR="00780ECA" w:rsidRPr="00780ECA" w:rsidRDefault="00780ECA" w:rsidP="00780ECA">
      <w:pPr>
        <w:spacing w:after="0"/>
        <w:jc w:val="both"/>
        <w:rPr>
          <w:sz w:val="20"/>
          <w:szCs w:val="20"/>
        </w:rPr>
      </w:pPr>
      <w:r w:rsidRPr="00780ECA">
        <w:rPr>
          <w:sz w:val="20"/>
          <w:szCs w:val="20"/>
        </w:rPr>
        <w:t xml:space="preserve">  94/2016 Sb. Vyhláška o hodnocení nebezpečných vlastností odpadů</w:t>
      </w:r>
    </w:p>
    <w:p w:rsidR="00780ECA" w:rsidRPr="00780ECA" w:rsidRDefault="00780ECA" w:rsidP="00780ECA">
      <w:pPr>
        <w:spacing w:after="0"/>
        <w:jc w:val="both"/>
        <w:rPr>
          <w:sz w:val="20"/>
          <w:szCs w:val="20"/>
        </w:rPr>
      </w:pPr>
      <w:r w:rsidRPr="00780ECA">
        <w:rPr>
          <w:sz w:val="20"/>
          <w:szCs w:val="20"/>
        </w:rPr>
        <w:t xml:space="preserve">  93/2016 Sb. Katalog odpadů</w:t>
      </w:r>
    </w:p>
    <w:p w:rsidR="00780ECA" w:rsidRPr="00780ECA" w:rsidRDefault="00780ECA" w:rsidP="00780ECA">
      <w:pPr>
        <w:spacing w:after="0"/>
        <w:jc w:val="both"/>
        <w:rPr>
          <w:sz w:val="20"/>
          <w:szCs w:val="20"/>
        </w:rPr>
      </w:pPr>
      <w:r w:rsidRPr="00780ECA">
        <w:rPr>
          <w:sz w:val="20"/>
          <w:szCs w:val="20"/>
        </w:rPr>
        <w:t>437/2016 Sb. Vyhláška o podmínkách použití upravených kalů na zemědělské půdě</w:t>
      </w:r>
    </w:p>
    <w:p w:rsidR="00780ECA" w:rsidRPr="00780ECA" w:rsidRDefault="00780ECA" w:rsidP="00780ECA">
      <w:pPr>
        <w:spacing w:after="0"/>
        <w:jc w:val="both"/>
        <w:rPr>
          <w:sz w:val="20"/>
          <w:szCs w:val="20"/>
        </w:rPr>
      </w:pPr>
      <w:r w:rsidRPr="00780ECA">
        <w:rPr>
          <w:sz w:val="20"/>
          <w:szCs w:val="20"/>
        </w:rPr>
        <w:t>383/2001 Sb. Vyhláška o podrobnostech nakládání s odpady</w:t>
      </w:r>
    </w:p>
    <w:p w:rsidR="00780ECA" w:rsidRPr="00780ECA" w:rsidRDefault="00780ECA" w:rsidP="00780ECA">
      <w:pPr>
        <w:spacing w:after="0"/>
        <w:jc w:val="both"/>
        <w:rPr>
          <w:sz w:val="20"/>
          <w:szCs w:val="20"/>
        </w:rPr>
      </w:pPr>
      <w:r w:rsidRPr="00780ECA">
        <w:rPr>
          <w:sz w:val="20"/>
          <w:szCs w:val="20"/>
        </w:rPr>
        <w:t>384/2001 Sb. Vyhláška o nakládání s PCB</w:t>
      </w:r>
    </w:p>
    <w:p w:rsidR="00780ECA" w:rsidRPr="00780ECA" w:rsidRDefault="00780ECA" w:rsidP="00780ECA">
      <w:pPr>
        <w:spacing w:after="0"/>
        <w:jc w:val="both"/>
        <w:rPr>
          <w:sz w:val="20"/>
          <w:szCs w:val="20"/>
        </w:rPr>
      </w:pPr>
      <w:r w:rsidRPr="00780ECA">
        <w:rPr>
          <w:sz w:val="20"/>
          <w:szCs w:val="20"/>
        </w:rPr>
        <w:t>237/2002 Sb. Vyhláška o podrobnostech způsobu provedení zpětného odběru některých výrobků</w:t>
      </w:r>
    </w:p>
    <w:p w:rsidR="00780ECA" w:rsidRPr="00780ECA" w:rsidRDefault="00780ECA" w:rsidP="00780ECA">
      <w:pPr>
        <w:spacing w:after="0"/>
        <w:jc w:val="both"/>
        <w:rPr>
          <w:sz w:val="20"/>
          <w:szCs w:val="20"/>
        </w:rPr>
      </w:pPr>
      <w:r w:rsidRPr="00780ECA">
        <w:rPr>
          <w:sz w:val="20"/>
          <w:szCs w:val="20"/>
        </w:rPr>
        <w:t>294/2005 Sb. Vyhláška o podm. ukládání odpadů na skládky a jejich využívání na povrchu terénu</w:t>
      </w:r>
    </w:p>
    <w:p w:rsidR="00780ECA" w:rsidRPr="00780ECA" w:rsidRDefault="00780ECA" w:rsidP="00780ECA">
      <w:pPr>
        <w:spacing w:after="0"/>
        <w:jc w:val="both"/>
        <w:rPr>
          <w:sz w:val="20"/>
          <w:szCs w:val="20"/>
        </w:rPr>
      </w:pPr>
      <w:r w:rsidRPr="00780ECA">
        <w:rPr>
          <w:sz w:val="20"/>
          <w:szCs w:val="20"/>
        </w:rPr>
        <w:t>352/2005 Sb. Vyhláška o nakládání s elektrozařízeními a elektroodpady</w:t>
      </w:r>
    </w:p>
    <w:p w:rsidR="00780ECA" w:rsidRPr="00780ECA" w:rsidRDefault="00780ECA" w:rsidP="00780ECA">
      <w:pPr>
        <w:spacing w:after="0"/>
        <w:jc w:val="both"/>
        <w:rPr>
          <w:sz w:val="20"/>
          <w:szCs w:val="20"/>
        </w:rPr>
      </w:pPr>
      <w:r w:rsidRPr="00780ECA">
        <w:rPr>
          <w:sz w:val="20"/>
          <w:szCs w:val="20"/>
        </w:rPr>
        <w:t>341/2008 Sb. Vyhláška o podrobnostech nakládání s biologicky rozložitelnými odpady</w:t>
      </w:r>
    </w:p>
    <w:p w:rsidR="00780ECA" w:rsidRPr="00780ECA" w:rsidRDefault="00780ECA" w:rsidP="00780ECA">
      <w:pPr>
        <w:spacing w:after="0"/>
        <w:jc w:val="both"/>
        <w:rPr>
          <w:sz w:val="20"/>
          <w:szCs w:val="20"/>
        </w:rPr>
      </w:pPr>
      <w:r w:rsidRPr="00780ECA">
        <w:rPr>
          <w:sz w:val="20"/>
          <w:szCs w:val="20"/>
        </w:rPr>
        <w:t>352/2008 Sb. Vyhláška o podrobnostech nakládání s autovraky</w:t>
      </w:r>
    </w:p>
    <w:p w:rsidR="00780ECA" w:rsidRPr="00780ECA" w:rsidRDefault="00780ECA" w:rsidP="00780ECA">
      <w:pPr>
        <w:spacing w:after="0"/>
        <w:jc w:val="both"/>
        <w:rPr>
          <w:sz w:val="20"/>
          <w:szCs w:val="20"/>
        </w:rPr>
      </w:pPr>
      <w:r w:rsidRPr="00780ECA">
        <w:rPr>
          <w:sz w:val="20"/>
          <w:szCs w:val="20"/>
        </w:rPr>
        <w:t>374/2008 Sb. Vyhláška o přepravě odpadů</w:t>
      </w:r>
    </w:p>
    <w:p w:rsidR="00780ECA" w:rsidRPr="00780ECA" w:rsidRDefault="00780ECA" w:rsidP="00780ECA">
      <w:pPr>
        <w:spacing w:after="0"/>
        <w:jc w:val="both"/>
        <w:rPr>
          <w:sz w:val="20"/>
          <w:szCs w:val="20"/>
        </w:rPr>
      </w:pPr>
      <w:r w:rsidRPr="00780ECA">
        <w:rPr>
          <w:sz w:val="20"/>
          <w:szCs w:val="20"/>
        </w:rPr>
        <w:t>170/2010 Sb. Vyhláška o bateriích a akumulátorech</w:t>
      </w:r>
    </w:p>
    <w:p w:rsidR="00780ECA" w:rsidRPr="00780ECA" w:rsidRDefault="00780ECA" w:rsidP="00780ECA">
      <w:pPr>
        <w:spacing w:after="0"/>
        <w:jc w:val="both"/>
        <w:rPr>
          <w:sz w:val="20"/>
          <w:szCs w:val="20"/>
        </w:rPr>
      </w:pPr>
      <w:r w:rsidRPr="00780ECA">
        <w:rPr>
          <w:sz w:val="20"/>
          <w:szCs w:val="20"/>
        </w:rPr>
        <w:t>321/2014 Sb. Vyhl. o rozsahu a způsobu zajištění odděl. soustřeďování složek komunálních odpadů</w:t>
      </w:r>
    </w:p>
    <w:p w:rsidR="00780ECA" w:rsidRPr="00780ECA" w:rsidRDefault="00780ECA" w:rsidP="00780ECA">
      <w:pPr>
        <w:spacing w:after="0"/>
        <w:jc w:val="both"/>
        <w:rPr>
          <w:sz w:val="20"/>
          <w:szCs w:val="20"/>
        </w:rPr>
      </w:pPr>
      <w:r w:rsidRPr="00780ECA">
        <w:rPr>
          <w:sz w:val="20"/>
          <w:szCs w:val="20"/>
        </w:rPr>
        <w:t>352/2014 Sb. Nařízení vlády o Plánu odpadového hospodářství České republiky pro období 2015–24</w:t>
      </w:r>
    </w:p>
    <w:p w:rsidR="00780ECA" w:rsidRPr="00780ECA" w:rsidRDefault="00780ECA" w:rsidP="00780ECA">
      <w:pPr>
        <w:spacing w:after="0"/>
        <w:jc w:val="both"/>
        <w:rPr>
          <w:sz w:val="20"/>
          <w:szCs w:val="20"/>
        </w:rPr>
      </w:pPr>
      <w:r w:rsidRPr="00780ECA">
        <w:rPr>
          <w:sz w:val="20"/>
          <w:szCs w:val="20"/>
        </w:rPr>
        <w:t>248/2015 Sb. Vyhláška o podrobnostech provádění zpětného odběru pneumatik</w:t>
      </w:r>
    </w:p>
    <w:p w:rsidR="00780ECA" w:rsidRPr="00780ECA" w:rsidRDefault="00780ECA" w:rsidP="00780ECA">
      <w:pPr>
        <w:spacing w:after="0"/>
        <w:jc w:val="both"/>
        <w:rPr>
          <w:sz w:val="20"/>
          <w:szCs w:val="20"/>
        </w:rPr>
      </w:pPr>
    </w:p>
    <w:p w:rsidR="00780ECA" w:rsidRPr="00780ECA" w:rsidRDefault="00780ECA" w:rsidP="00780ECA">
      <w:pPr>
        <w:spacing w:after="0"/>
        <w:jc w:val="both"/>
        <w:rPr>
          <w:sz w:val="20"/>
          <w:szCs w:val="20"/>
        </w:rPr>
      </w:pPr>
      <w:r w:rsidRPr="00780ECA">
        <w:rPr>
          <w:sz w:val="20"/>
          <w:szCs w:val="20"/>
        </w:rPr>
        <w:t>V případě že uvedené materiály nebudou nadále využitelné pro potřeby SŽ</w:t>
      </w:r>
      <w:r w:rsidR="002E036B">
        <w:rPr>
          <w:sz w:val="20"/>
          <w:szCs w:val="20"/>
        </w:rPr>
        <w:t>, s.o.</w:t>
      </w:r>
      <w:r w:rsidRPr="00780ECA">
        <w:rPr>
          <w:sz w:val="20"/>
          <w:szCs w:val="20"/>
        </w:rPr>
        <w:t xml:space="preserve"> nebo ČD, stanou se odpadem a bude s nimi nakládáno dle požadavků platné legislativy v odpadovém hospodářství.</w:t>
      </w:r>
    </w:p>
    <w:p w:rsidR="00780ECA" w:rsidRDefault="00780ECA" w:rsidP="00780ECA">
      <w:pPr>
        <w:spacing w:after="0"/>
        <w:jc w:val="both"/>
        <w:rPr>
          <w:sz w:val="20"/>
          <w:szCs w:val="20"/>
        </w:rPr>
      </w:pPr>
      <w:r w:rsidRPr="00780ECA">
        <w:rPr>
          <w:sz w:val="20"/>
          <w:szCs w:val="20"/>
        </w:rPr>
        <w:t>Vznikající odpady budou předávány oprávněným subjektům. V případě, že budou zneškodňovány přímo firmou provádějící stavbu či provozovatelem, zodpovídá příslušný subjekt za to, že budou zneškodňovány v souladu s legislativní úpravou, tzn. v současnosti zejména se zákonem č. 185/2001 Sb. ve znění pozdějších předpisů. Během stavby i během užívání domu nebude horninové podloží kontaminováno např. ropnými látkami, odpadními vodami, apod.</w:t>
      </w:r>
    </w:p>
    <w:p w:rsidR="00250CB3" w:rsidRDefault="00250CB3" w:rsidP="00780ECA">
      <w:pPr>
        <w:spacing w:after="0"/>
        <w:jc w:val="both"/>
        <w:rPr>
          <w:sz w:val="20"/>
          <w:szCs w:val="20"/>
        </w:rPr>
      </w:pPr>
    </w:p>
    <w:p w:rsidR="00250CB3" w:rsidRDefault="00250CB3" w:rsidP="00780ECA">
      <w:pPr>
        <w:spacing w:after="0"/>
        <w:jc w:val="both"/>
        <w:rPr>
          <w:sz w:val="20"/>
          <w:szCs w:val="20"/>
        </w:rPr>
      </w:pPr>
    </w:p>
    <w:p w:rsidR="00250CB3" w:rsidRDefault="00250CB3" w:rsidP="00780ECA">
      <w:pPr>
        <w:spacing w:after="0"/>
        <w:jc w:val="both"/>
        <w:rPr>
          <w:sz w:val="20"/>
          <w:szCs w:val="20"/>
        </w:rPr>
      </w:pPr>
    </w:p>
    <w:p w:rsidR="00250CB3" w:rsidRPr="00780ECA" w:rsidRDefault="00250CB3" w:rsidP="00780ECA">
      <w:pPr>
        <w:spacing w:after="0"/>
        <w:jc w:val="both"/>
        <w:rPr>
          <w:sz w:val="20"/>
          <w:szCs w:val="20"/>
        </w:rPr>
      </w:pPr>
    </w:p>
    <w:p w:rsidR="00780ECA" w:rsidRPr="00780ECA" w:rsidRDefault="00780ECA" w:rsidP="00780ECA">
      <w:pPr>
        <w:pStyle w:val="Styl1"/>
        <w:spacing w:before="240"/>
        <w:ind w:left="284" w:hanging="284"/>
        <w:jc w:val="both"/>
        <w:rPr>
          <w:rFonts w:asciiTheme="minorHAnsi" w:hAnsiTheme="minorHAnsi"/>
          <w:b/>
          <w:color w:val="auto"/>
          <w:sz w:val="20"/>
          <w:szCs w:val="20"/>
        </w:rPr>
      </w:pPr>
      <w:r w:rsidRPr="00780ECA">
        <w:rPr>
          <w:rFonts w:asciiTheme="minorHAnsi" w:hAnsiTheme="minorHAnsi"/>
          <w:b/>
          <w:color w:val="auto"/>
          <w:sz w:val="20"/>
          <w:szCs w:val="20"/>
        </w:rPr>
        <w:t>Přílohy:</w:t>
      </w:r>
    </w:p>
    <w:p w:rsidR="00780ECA" w:rsidRPr="00780ECA" w:rsidRDefault="00780ECA" w:rsidP="00780ECA">
      <w:pPr>
        <w:spacing w:after="0"/>
        <w:ind w:left="66"/>
        <w:jc w:val="both"/>
        <w:rPr>
          <w:sz w:val="20"/>
          <w:szCs w:val="20"/>
        </w:rPr>
      </w:pPr>
      <w:r w:rsidRPr="00780ECA">
        <w:rPr>
          <w:sz w:val="20"/>
          <w:szCs w:val="20"/>
        </w:rPr>
        <w:t>Katastrální mapa s vlastnickými vztahy</w:t>
      </w:r>
      <w:r w:rsidRPr="00780ECA">
        <w:rPr>
          <w:sz w:val="20"/>
          <w:szCs w:val="20"/>
        </w:rPr>
        <w:tab/>
        <w:t xml:space="preserve">         </w:t>
      </w:r>
      <w:r w:rsidRPr="00780ECA">
        <w:rPr>
          <w:sz w:val="20"/>
          <w:szCs w:val="20"/>
        </w:rPr>
        <w:tab/>
        <w:t xml:space="preserve">          </w:t>
      </w:r>
      <w:r w:rsidR="00C35CE2">
        <w:rPr>
          <w:sz w:val="20"/>
          <w:szCs w:val="20"/>
        </w:rPr>
        <w:t xml:space="preserve"> </w:t>
      </w:r>
      <w:r w:rsidRPr="00780ECA">
        <w:rPr>
          <w:sz w:val="20"/>
          <w:szCs w:val="20"/>
        </w:rPr>
        <w:t xml:space="preserve"> Letecký snímek</w:t>
      </w:r>
    </w:p>
    <w:p w:rsidR="00780ECA" w:rsidRPr="00780ECA" w:rsidRDefault="00780ECA" w:rsidP="00780ECA">
      <w:pPr>
        <w:spacing w:after="0"/>
        <w:ind w:left="66"/>
        <w:jc w:val="both"/>
        <w:rPr>
          <w:sz w:val="20"/>
          <w:szCs w:val="20"/>
        </w:rPr>
      </w:pPr>
      <w:r w:rsidRPr="00780ECA">
        <w:rPr>
          <w:noProof/>
          <w:sz w:val="20"/>
          <w:szCs w:val="20"/>
          <w:lang w:eastAsia="cs-CZ"/>
        </w:rPr>
        <w:drawing>
          <wp:inline distT="0" distB="0" distL="0" distR="0" wp14:anchorId="30A29D0D" wp14:editId="696FB7E3">
            <wp:extent cx="2674769" cy="204787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názvu.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0697" cy="2052414"/>
                    </a:xfrm>
                    <a:prstGeom prst="rect">
                      <a:avLst/>
                    </a:prstGeom>
                  </pic:spPr>
                </pic:pic>
              </a:graphicData>
            </a:graphic>
          </wp:inline>
        </w:drawing>
      </w:r>
      <w:r w:rsidR="00C35CE2">
        <w:rPr>
          <w:sz w:val="20"/>
          <w:szCs w:val="20"/>
        </w:rPr>
        <w:t xml:space="preserve">      </w:t>
      </w:r>
      <w:r w:rsidRPr="00780ECA">
        <w:rPr>
          <w:noProof/>
          <w:sz w:val="20"/>
          <w:szCs w:val="20"/>
          <w:lang w:eastAsia="cs-CZ"/>
        </w:rPr>
        <w:drawing>
          <wp:inline distT="0" distB="0" distL="0" distR="0" wp14:anchorId="7DEE7A32" wp14:editId="40D2BE3C">
            <wp:extent cx="2531126" cy="2038350"/>
            <wp:effectExtent l="0" t="0" r="254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z názvu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45492" cy="2049919"/>
                    </a:xfrm>
                    <a:prstGeom prst="rect">
                      <a:avLst/>
                    </a:prstGeom>
                  </pic:spPr>
                </pic:pic>
              </a:graphicData>
            </a:graphic>
          </wp:inline>
        </w:drawing>
      </w:r>
    </w:p>
    <w:p w:rsidR="00780ECA" w:rsidRPr="00780ECA" w:rsidRDefault="00780ECA" w:rsidP="00780ECA">
      <w:pPr>
        <w:spacing w:after="0"/>
        <w:ind w:left="66"/>
        <w:jc w:val="both"/>
        <w:rPr>
          <w:sz w:val="20"/>
          <w:szCs w:val="20"/>
        </w:rPr>
      </w:pPr>
    </w:p>
    <w:p w:rsidR="009F392E" w:rsidRPr="00780ECA" w:rsidRDefault="009F392E" w:rsidP="00780ECA">
      <w:pPr>
        <w:rPr>
          <w:sz w:val="20"/>
          <w:szCs w:val="20"/>
        </w:rPr>
      </w:pPr>
      <w:bookmarkStart w:id="0" w:name="_GoBack"/>
      <w:bookmarkEnd w:id="0"/>
    </w:p>
    <w:sectPr w:rsidR="009F392E" w:rsidRPr="00780ECA"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CE8" w:rsidRDefault="00386CE8" w:rsidP="00962258">
      <w:pPr>
        <w:spacing w:after="0" w:line="240" w:lineRule="auto"/>
      </w:pPr>
      <w:r>
        <w:separator/>
      </w:r>
    </w:p>
  </w:endnote>
  <w:endnote w:type="continuationSeparator" w:id="0">
    <w:p w:rsidR="00386CE8" w:rsidRDefault="00386C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C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CB3">
            <w:rPr>
              <w:rStyle w:val="slostrnky"/>
              <w:noProof/>
            </w:rPr>
            <w:t>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19C8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CECA9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CB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CB3">
            <w:rPr>
              <w:rStyle w:val="slostrnky"/>
              <w:noProof/>
            </w:rPr>
            <w:t>6</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4E125A0" wp14:editId="5C6D54F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7FB0D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962ADB9" wp14:editId="09AF926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675D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CE8" w:rsidRDefault="00386CE8" w:rsidP="00962258">
      <w:pPr>
        <w:spacing w:after="0" w:line="240" w:lineRule="auto"/>
      </w:pPr>
      <w:r>
        <w:separator/>
      </w:r>
    </w:p>
  </w:footnote>
  <w:footnote w:type="continuationSeparator" w:id="0">
    <w:p w:rsidR="00386CE8" w:rsidRDefault="00386C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5A7D55" w:rsidP="00FC6389">
          <w:pPr>
            <w:pStyle w:val="Zpat"/>
            <w:rPr>
              <w:rStyle w:val="slostrnky"/>
            </w:rPr>
          </w:pPr>
          <w:r>
            <w:rPr>
              <w:noProof/>
              <w:lang w:eastAsia="cs-CZ"/>
            </w:rPr>
            <w:drawing>
              <wp:anchor distT="0" distB="0" distL="114300" distR="114300" simplePos="0" relativeHeight="251659264" behindDoc="0" locked="1" layoutInCell="1" allowOverlap="1" wp14:anchorId="6AD39E08" wp14:editId="53628327">
                <wp:simplePos x="0" y="0"/>
                <wp:positionH relativeFrom="page">
                  <wp:posOffset>-2540</wp:posOffset>
                </wp:positionH>
                <wp:positionV relativeFrom="page">
                  <wp:posOffset>1905</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0474E2"/>
    <w:multiLevelType w:val="hybridMultilevel"/>
    <w:tmpl w:val="8DD4A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C754F32"/>
    <w:multiLevelType w:val="hybridMultilevel"/>
    <w:tmpl w:val="2700B0DC"/>
    <w:lvl w:ilvl="0" w:tplc="8D1A9968">
      <w:start w:val="1"/>
      <w:numFmt w:val="decimal"/>
      <w:pStyle w:val="Styl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427B6F"/>
    <w:multiLevelType w:val="hybridMultilevel"/>
    <w:tmpl w:val="FAF87F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DD67D12"/>
    <w:multiLevelType w:val="hybridMultilevel"/>
    <w:tmpl w:val="AC048932"/>
    <w:lvl w:ilvl="0" w:tplc="3508D0BE">
      <w:numFmt w:val="bullet"/>
      <w:lvlText w:val="-"/>
      <w:lvlJc w:val="left"/>
      <w:pPr>
        <w:ind w:left="720" w:hanging="360"/>
      </w:pPr>
      <w:rPr>
        <w:rFonts w:ascii="Verdana" w:eastAsiaTheme="majorEastAsia" w:hAnsi="Verdana" w:cstheme="maj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
  </w:num>
  <w:num w:numId="6">
    <w:abstractNumId w:val="5"/>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2"/>
  </w:num>
  <w:num w:numId="17">
    <w:abstractNumId w:val="3"/>
  </w:num>
  <w:num w:numId="18">
    <w:abstractNumId w:val="12"/>
  </w:num>
  <w:num w:numId="19">
    <w:abstractNumId w:val="12"/>
  </w:num>
  <w:num w:numId="20">
    <w:abstractNumId w:val="12"/>
  </w:num>
  <w:num w:numId="21">
    <w:abstractNumId w:val="12"/>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2"/>
  </w:num>
  <w:num w:numId="29">
    <w:abstractNumId w:val="3"/>
  </w:num>
  <w:num w:numId="30">
    <w:abstractNumId w:val="12"/>
  </w:num>
  <w:num w:numId="31">
    <w:abstractNumId w:val="12"/>
  </w:num>
  <w:num w:numId="32">
    <w:abstractNumId w:val="12"/>
  </w:num>
  <w:num w:numId="33">
    <w:abstractNumId w:val="12"/>
  </w:num>
  <w:num w:numId="34">
    <w:abstractNumId w:val="6"/>
  </w:num>
  <w:num w:numId="35">
    <w:abstractNumId w:val="7"/>
  </w:num>
  <w:num w:numId="36">
    <w:abstractNumId w:val="2"/>
  </w:num>
  <w:num w:numId="37">
    <w:abstractNumId w:val="10"/>
  </w:num>
  <w:num w:numId="38">
    <w:abstractNumId w:val="6"/>
    <w:lvlOverride w:ilvl="0">
      <w:startOverride w:val="1"/>
    </w:lvlOverride>
  </w:num>
  <w:num w:numId="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ECA"/>
    <w:rsid w:val="00072C1E"/>
    <w:rsid w:val="000D0C7E"/>
    <w:rsid w:val="000D10BE"/>
    <w:rsid w:val="000E23A7"/>
    <w:rsid w:val="0010693F"/>
    <w:rsid w:val="00114472"/>
    <w:rsid w:val="001550BC"/>
    <w:rsid w:val="001605B9"/>
    <w:rsid w:val="00170EC5"/>
    <w:rsid w:val="001747C1"/>
    <w:rsid w:val="00184743"/>
    <w:rsid w:val="00207DF5"/>
    <w:rsid w:val="002450D7"/>
    <w:rsid w:val="00246774"/>
    <w:rsid w:val="00250CB3"/>
    <w:rsid w:val="00280E07"/>
    <w:rsid w:val="002C31BF"/>
    <w:rsid w:val="002D08B1"/>
    <w:rsid w:val="002E036B"/>
    <w:rsid w:val="002E0CD7"/>
    <w:rsid w:val="00341DCF"/>
    <w:rsid w:val="00357BC6"/>
    <w:rsid w:val="003733FA"/>
    <w:rsid w:val="00386CE8"/>
    <w:rsid w:val="00390434"/>
    <w:rsid w:val="003956C6"/>
    <w:rsid w:val="003B479F"/>
    <w:rsid w:val="0044046A"/>
    <w:rsid w:val="00441430"/>
    <w:rsid w:val="00450F07"/>
    <w:rsid w:val="00453CD3"/>
    <w:rsid w:val="00460660"/>
    <w:rsid w:val="00461461"/>
    <w:rsid w:val="00486107"/>
    <w:rsid w:val="00491827"/>
    <w:rsid w:val="004965F9"/>
    <w:rsid w:val="004A75DB"/>
    <w:rsid w:val="004B348C"/>
    <w:rsid w:val="004C4399"/>
    <w:rsid w:val="004C787C"/>
    <w:rsid w:val="004D37D6"/>
    <w:rsid w:val="004E143C"/>
    <w:rsid w:val="004E3A53"/>
    <w:rsid w:val="004F4B9B"/>
    <w:rsid w:val="0050151D"/>
    <w:rsid w:val="00511AB9"/>
    <w:rsid w:val="00523EA7"/>
    <w:rsid w:val="00527A72"/>
    <w:rsid w:val="00536273"/>
    <w:rsid w:val="00552955"/>
    <w:rsid w:val="00553375"/>
    <w:rsid w:val="005736B7"/>
    <w:rsid w:val="00575E5A"/>
    <w:rsid w:val="005A7D55"/>
    <w:rsid w:val="005F1404"/>
    <w:rsid w:val="0061068E"/>
    <w:rsid w:val="00660AD3"/>
    <w:rsid w:val="00677B7F"/>
    <w:rsid w:val="006A5570"/>
    <w:rsid w:val="006A689C"/>
    <w:rsid w:val="006B3D79"/>
    <w:rsid w:val="006D7AFE"/>
    <w:rsid w:val="006E0578"/>
    <w:rsid w:val="006E314D"/>
    <w:rsid w:val="006E6DB9"/>
    <w:rsid w:val="00710723"/>
    <w:rsid w:val="00723ED1"/>
    <w:rsid w:val="00743525"/>
    <w:rsid w:val="0076286B"/>
    <w:rsid w:val="00766846"/>
    <w:rsid w:val="0077673A"/>
    <w:rsid w:val="00780ECA"/>
    <w:rsid w:val="007846E1"/>
    <w:rsid w:val="007B570C"/>
    <w:rsid w:val="007C589B"/>
    <w:rsid w:val="007E4A6E"/>
    <w:rsid w:val="007F56A7"/>
    <w:rsid w:val="00807DD0"/>
    <w:rsid w:val="008659F3"/>
    <w:rsid w:val="008706F9"/>
    <w:rsid w:val="00886D4B"/>
    <w:rsid w:val="00895406"/>
    <w:rsid w:val="008A3568"/>
    <w:rsid w:val="008D02C7"/>
    <w:rsid w:val="008D03B9"/>
    <w:rsid w:val="008F18D6"/>
    <w:rsid w:val="00904780"/>
    <w:rsid w:val="0090591C"/>
    <w:rsid w:val="00922385"/>
    <w:rsid w:val="009223DF"/>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75EE1"/>
    <w:rsid w:val="00B77481"/>
    <w:rsid w:val="00B8518B"/>
    <w:rsid w:val="00B91874"/>
    <w:rsid w:val="00BD7E91"/>
    <w:rsid w:val="00C02D0A"/>
    <w:rsid w:val="00C03A6E"/>
    <w:rsid w:val="00C35CE2"/>
    <w:rsid w:val="00C44F6A"/>
    <w:rsid w:val="00C47AE3"/>
    <w:rsid w:val="00CD1FC4"/>
    <w:rsid w:val="00D21061"/>
    <w:rsid w:val="00D4108E"/>
    <w:rsid w:val="00D6163D"/>
    <w:rsid w:val="00D831A3"/>
    <w:rsid w:val="00D926F8"/>
    <w:rsid w:val="00DC75F3"/>
    <w:rsid w:val="00DD46F3"/>
    <w:rsid w:val="00DE56F2"/>
    <w:rsid w:val="00DF116D"/>
    <w:rsid w:val="00EB104F"/>
    <w:rsid w:val="00ED14BD"/>
    <w:rsid w:val="00F00C2D"/>
    <w:rsid w:val="00F0533E"/>
    <w:rsid w:val="00F1048D"/>
    <w:rsid w:val="00F12DEC"/>
    <w:rsid w:val="00F1715C"/>
    <w:rsid w:val="00F310F8"/>
    <w:rsid w:val="00F32CDC"/>
    <w:rsid w:val="00F35939"/>
    <w:rsid w:val="00F45607"/>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92E9CE"/>
  <w14:defaultImageDpi w14:val="32767"/>
  <w15:docId w15:val="{628A5294-5AB8-4162-AB96-88A66ADAB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ECA"/>
    <w:pPr>
      <w:spacing w:after="200" w:line="276" w:lineRule="auto"/>
    </w:pPr>
    <w:rPr>
      <w:sz w:val="22"/>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Styl1">
    <w:name w:val="Styl1"/>
    <w:basedOn w:val="Nadpis1"/>
    <w:link w:val="Styl1Char"/>
    <w:qFormat/>
    <w:rsid w:val="00780ECA"/>
    <w:pPr>
      <w:numPr>
        <w:numId w:val="34"/>
      </w:numPr>
      <w:suppressAutoHyphens w:val="0"/>
      <w:spacing w:before="480"/>
    </w:pPr>
    <w:rPr>
      <w:b w:val="0"/>
      <w:bCs/>
      <w:color w:val="001F42" w:themeColor="accent1" w:themeShade="BF"/>
      <w:sz w:val="28"/>
      <w:szCs w:val="28"/>
    </w:rPr>
  </w:style>
  <w:style w:type="character" w:customStyle="1" w:styleId="Styl1Char">
    <w:name w:val="Styl1 Char"/>
    <w:basedOn w:val="Nadpis1Char"/>
    <w:link w:val="Styl1"/>
    <w:rsid w:val="00780ECA"/>
    <w:rPr>
      <w:rFonts w:asciiTheme="majorHAnsi" w:eastAsiaTheme="majorEastAsia" w:hAnsiTheme="majorHAnsi" w:cstheme="majorBidi"/>
      <w:b w:val="0"/>
      <w:bCs/>
      <w:color w:val="001F42" w:themeColor="accent1" w:themeShade="BF"/>
      <w:spacing w:val="-6"/>
      <w:sz w:val="28"/>
      <w:szCs w:val="28"/>
    </w:rPr>
  </w:style>
  <w:style w:type="paragraph" w:customStyle="1" w:styleId="Default">
    <w:name w:val="Default"/>
    <w:rsid w:val="00780EC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kubcom\Desktop\Pr&#225;ce\Oprava%20PS%20v%20&#352;umperku\szdc_hlavickov&#253;%20pap&#237;r_bez%20z&#225;pat&#237;_&#352;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64457-D668-4331-83F1-F2231C579DE7}">
  <ds:schemaRefs>
    <ds:schemaRef ds:uri="http://schemas.microsoft.com/sharepoint/v3/contenttype/forms"/>
  </ds:schemaRefs>
</ds:datastoreItem>
</file>

<file path=customXml/itemProps2.xml><?xml version="1.0" encoding="utf-8"?>
<ds:datastoreItem xmlns:ds="http://schemas.openxmlformats.org/officeDocument/2006/customXml" ds:itemID="{613E5F9E-BF81-44F4-B1BD-AF152A8E7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059998-5EC3-4FBD-9393-BE2C7FF1FC1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77BFB50-83DB-461F-812E-6F7BB04A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szdc_hlavickový papír_bez zápatí_ŠABLONA.dotx</Template>
  <TotalTime>452</TotalTime>
  <Pages>6</Pages>
  <Words>1754</Words>
  <Characters>10354</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Jakubčo Martin</dc:creator>
  <cp:lastModifiedBy>Duda Vlastimil, Ing.</cp:lastModifiedBy>
  <cp:revision>10</cp:revision>
  <cp:lastPrinted>2017-11-28T17:18:00Z</cp:lastPrinted>
  <dcterms:created xsi:type="dcterms:W3CDTF">2019-02-01T12:06:00Z</dcterms:created>
  <dcterms:modified xsi:type="dcterms:W3CDTF">2021-05-04T07:22:00Z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